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E01A" w14:textId="77777777" w:rsidR="00282FC8" w:rsidRPr="00DF06A2" w:rsidRDefault="007B6293" w:rsidP="006A7924">
      <w:pPr>
        <w:spacing w:after="0" w:line="240" w:lineRule="auto"/>
        <w:ind w:left="6804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ЗАТВЕРДЖЕНО</w:t>
      </w:r>
    </w:p>
    <w:p w14:paraId="65D5292C" w14:textId="77777777" w:rsidR="00282FC8" w:rsidRPr="00DF06A2" w:rsidRDefault="00282FC8" w:rsidP="006A7924">
      <w:pPr>
        <w:spacing w:after="0" w:line="240" w:lineRule="auto"/>
        <w:ind w:left="637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Наказ Міністерства охорони здоров’я України</w:t>
      </w:r>
    </w:p>
    <w:p w14:paraId="3D997432" w14:textId="15637AA8" w:rsidR="00B37071" w:rsidRPr="00DF06A2" w:rsidRDefault="00F25805" w:rsidP="006A7924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__________</w:t>
      </w:r>
      <w:r w:rsidR="00E461EE" w:rsidRPr="004A0C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№</w:t>
      </w:r>
      <w:r w:rsidRPr="00DF06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__</w:t>
      </w:r>
      <w:r w:rsidR="00E461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_________</w:t>
      </w:r>
    </w:p>
    <w:p w14:paraId="430B7BA1" w14:textId="77777777" w:rsidR="00282FC8" w:rsidRPr="00DF06A2" w:rsidRDefault="00282FC8" w:rsidP="006A7924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Реєстраційне посвідчення</w:t>
      </w:r>
    </w:p>
    <w:p w14:paraId="2A92A4AF" w14:textId="28B7BC40" w:rsidR="00282FC8" w:rsidRPr="00DF06A2" w:rsidRDefault="00E461EE" w:rsidP="00CC0230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4A0C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№</w:t>
      </w:r>
      <w:r w:rsidR="00F25805" w:rsidRPr="004A0C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</w:t>
      </w:r>
      <w:r w:rsidR="00F25805" w:rsidRPr="00DF06A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______________</w:t>
      </w:r>
    </w:p>
    <w:p w14:paraId="56C49534" w14:textId="77777777" w:rsidR="00B37071" w:rsidRPr="00DF06A2" w:rsidRDefault="00B37071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4E9CDE9B" w14:textId="77777777" w:rsidR="00F25805" w:rsidRPr="00DF06A2" w:rsidRDefault="00F25805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314BDAB" w14:textId="77777777" w:rsidR="00DB0C1C" w:rsidRPr="00DF06A2" w:rsidRDefault="00DB0C1C" w:rsidP="004B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ІНСТРУКЦІЯ</w:t>
      </w:r>
    </w:p>
    <w:p w14:paraId="7DBD2F65" w14:textId="77777777" w:rsidR="00DB0C1C" w:rsidRPr="00DF06A2" w:rsidRDefault="00DB0C1C" w:rsidP="004B4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для медичного застосування лікарського засобу</w:t>
      </w:r>
    </w:p>
    <w:p w14:paraId="5DD033A5" w14:textId="77777777" w:rsidR="00DB0C1C" w:rsidRPr="00DF06A2" w:rsidRDefault="00DB0C1C" w:rsidP="004B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75A27D2" w14:textId="77777777" w:rsidR="00DB0C1C" w:rsidRPr="00DF06A2" w:rsidRDefault="00AB37FA" w:rsidP="004B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СУСПРІН</w:t>
      </w:r>
      <w:r w:rsidR="00DB0C1C" w:rsidRPr="00DF06A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  <w:t>®</w:t>
      </w:r>
    </w:p>
    <w:p w14:paraId="78B665D2" w14:textId="77777777" w:rsidR="00DB0C1C" w:rsidRPr="00DF06A2" w:rsidRDefault="00C3411B" w:rsidP="004B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AB37FA"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SUSPRIN</w:t>
      </w:r>
      <w:r w:rsidR="00DB0C1C" w:rsidRPr="00DF06A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/>
        </w:rPr>
        <w:t>®</w:t>
      </w:r>
      <w:r w:rsidR="00DB0C1C"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14:paraId="086D34E2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09284DC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Склад:</w:t>
      </w:r>
    </w:p>
    <w:p w14:paraId="6FFFE60D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діюч</w:t>
      </w:r>
      <w:r w:rsidR="00C3411B" w:rsidRPr="00DF06A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</w:t>
      </w:r>
      <w:r w:rsidRPr="00DF06A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речовин</w:t>
      </w:r>
      <w:r w:rsidR="00C3411B" w:rsidRPr="00DF06A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а</w:t>
      </w:r>
      <w:r w:rsidRPr="00DF06A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proofErr w:type="spellStart"/>
      <w:r w:rsidR="00AB37FA" w:rsidRPr="00DF06A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ондансетрон</w:t>
      </w:r>
      <w:proofErr w:type="spellEnd"/>
      <w:r w:rsidR="00AB37FA" w:rsidRPr="00DF06A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</w:t>
      </w:r>
      <w:r w:rsidR="00FB1659" w:rsidRPr="00DF06A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(</w:t>
      </w:r>
      <w:proofErr w:type="spellStart"/>
      <w:r w:rsidR="00AB37FA" w:rsidRPr="00DF06A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ondansetron</w:t>
      </w:r>
      <w:proofErr w:type="spellEnd"/>
      <w:r w:rsidR="00FB1659" w:rsidRPr="00DF06A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</w:t>
      </w:r>
      <w:r w:rsidR="002115D7" w:rsidRPr="00DF06A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;</w:t>
      </w:r>
    </w:p>
    <w:p w14:paraId="472983C6" w14:textId="77777777" w:rsidR="00217FD4" w:rsidRPr="00DF06A2" w:rsidRDefault="00AB37FA" w:rsidP="00CC0230">
      <w:pPr>
        <w:pStyle w:val="1"/>
        <w:keepNext/>
        <w:jc w:val="both"/>
        <w:rPr>
          <w:sz w:val="24"/>
          <w:szCs w:val="24"/>
          <w:lang w:val="uk-UA"/>
        </w:rPr>
      </w:pPr>
      <w:r w:rsidRPr="00DF06A2">
        <w:rPr>
          <w:sz w:val="24"/>
          <w:szCs w:val="24"/>
          <w:lang w:val="uk-UA" w:eastAsia="ru-RU"/>
        </w:rPr>
        <w:t>5</w:t>
      </w:r>
      <w:r w:rsidR="00DB0C1C" w:rsidRPr="00DF06A2">
        <w:rPr>
          <w:sz w:val="24"/>
          <w:szCs w:val="24"/>
          <w:lang w:val="uk-UA" w:eastAsia="ru-RU"/>
        </w:rPr>
        <w:t xml:space="preserve"> </w:t>
      </w:r>
      <w:r w:rsidRPr="00DF06A2">
        <w:rPr>
          <w:sz w:val="24"/>
          <w:szCs w:val="24"/>
          <w:lang w:val="uk-UA" w:eastAsia="ru-RU"/>
        </w:rPr>
        <w:t>мл розчину міст</w:t>
      </w:r>
      <w:r w:rsidR="001D1B6C" w:rsidRPr="00DF06A2">
        <w:rPr>
          <w:sz w:val="24"/>
          <w:szCs w:val="24"/>
          <w:lang w:val="uk-UA" w:eastAsia="ru-RU"/>
        </w:rPr>
        <w:t>и</w:t>
      </w:r>
      <w:r w:rsidRPr="00DF06A2">
        <w:rPr>
          <w:sz w:val="24"/>
          <w:szCs w:val="24"/>
          <w:lang w:val="uk-UA" w:eastAsia="ru-RU"/>
        </w:rPr>
        <w:t xml:space="preserve">ть </w:t>
      </w:r>
      <w:proofErr w:type="spellStart"/>
      <w:r w:rsidR="001D1B6C" w:rsidRPr="00DF06A2">
        <w:rPr>
          <w:spacing w:val="-2"/>
          <w:sz w:val="24"/>
          <w:szCs w:val="24"/>
          <w:lang w:val="uk-UA"/>
        </w:rPr>
        <w:t>ондансетрону</w:t>
      </w:r>
      <w:proofErr w:type="spellEnd"/>
      <w:r w:rsidR="001D1B6C" w:rsidRPr="00DF06A2">
        <w:rPr>
          <w:spacing w:val="-2"/>
          <w:sz w:val="24"/>
          <w:szCs w:val="24"/>
          <w:lang w:val="uk-UA"/>
        </w:rPr>
        <w:t xml:space="preserve"> </w:t>
      </w:r>
      <w:proofErr w:type="spellStart"/>
      <w:r w:rsidR="001D1B6C" w:rsidRPr="00DF06A2">
        <w:rPr>
          <w:spacing w:val="-2"/>
          <w:sz w:val="24"/>
          <w:szCs w:val="24"/>
          <w:lang w:val="uk-UA"/>
        </w:rPr>
        <w:t>гідрохлориду</w:t>
      </w:r>
      <w:proofErr w:type="spellEnd"/>
      <w:r w:rsidR="001D1B6C" w:rsidRPr="00DF06A2">
        <w:rPr>
          <w:spacing w:val="-2"/>
          <w:sz w:val="24"/>
          <w:szCs w:val="24"/>
          <w:lang w:val="uk-UA"/>
        </w:rPr>
        <w:t xml:space="preserve"> </w:t>
      </w:r>
      <w:proofErr w:type="spellStart"/>
      <w:r w:rsidR="001D1B6C" w:rsidRPr="00DF06A2">
        <w:rPr>
          <w:spacing w:val="-2"/>
          <w:sz w:val="24"/>
          <w:szCs w:val="24"/>
          <w:lang w:val="uk-UA"/>
        </w:rPr>
        <w:t>дигідрату</w:t>
      </w:r>
      <w:proofErr w:type="spellEnd"/>
      <w:r w:rsidR="001D1B6C" w:rsidRPr="00DF06A2">
        <w:rPr>
          <w:spacing w:val="-2"/>
          <w:sz w:val="24"/>
          <w:szCs w:val="24"/>
          <w:lang w:val="uk-UA"/>
        </w:rPr>
        <w:t xml:space="preserve"> у перерахуванні на </w:t>
      </w:r>
      <w:proofErr w:type="spellStart"/>
      <w:r w:rsidR="001D1B6C" w:rsidRPr="00DF06A2">
        <w:rPr>
          <w:spacing w:val="-2"/>
          <w:sz w:val="24"/>
          <w:szCs w:val="24"/>
          <w:lang w:val="uk-UA"/>
        </w:rPr>
        <w:t>ондансетрон</w:t>
      </w:r>
      <w:proofErr w:type="spellEnd"/>
      <w:r w:rsidR="001D1B6C" w:rsidRPr="00DF06A2">
        <w:rPr>
          <w:spacing w:val="-2"/>
          <w:sz w:val="24"/>
          <w:szCs w:val="24"/>
          <w:lang w:val="uk-UA"/>
        </w:rPr>
        <w:t xml:space="preserve"> </w:t>
      </w:r>
      <w:r w:rsidRPr="00DF06A2">
        <w:rPr>
          <w:sz w:val="24"/>
          <w:szCs w:val="24"/>
          <w:lang w:val="uk-UA" w:eastAsia="en-US"/>
        </w:rPr>
        <w:t>4 мг</w:t>
      </w:r>
      <w:r w:rsidR="001D1B6C" w:rsidRPr="00DF06A2">
        <w:rPr>
          <w:sz w:val="24"/>
          <w:szCs w:val="24"/>
          <w:lang w:val="uk-UA" w:eastAsia="en-US"/>
        </w:rPr>
        <w:t>;</w:t>
      </w:r>
    </w:p>
    <w:p w14:paraId="1EB110EF" w14:textId="77777777" w:rsidR="00EA5810" w:rsidRPr="00DF06A2" w:rsidRDefault="00DB0C1C" w:rsidP="00CC023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допоміжні речовини</w:t>
      </w:r>
      <w:r w:rsidR="001D1B6C" w:rsidRPr="00DF06A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="001D1B6C"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5810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кислота лимонна</w:t>
      </w:r>
      <w:r w:rsidR="00821FF1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,</w:t>
      </w:r>
      <w:r w:rsidR="00EA5810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моногідр</w:t>
      </w:r>
      <w:r w:rsidR="001D1B6C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ат; натрію </w:t>
      </w:r>
      <w:proofErr w:type="spellStart"/>
      <w:r w:rsidR="001D1B6C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бензоат</w:t>
      </w:r>
      <w:proofErr w:type="spellEnd"/>
      <w:r w:rsidR="002B131D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(Е 211)</w:t>
      </w:r>
      <w:r w:rsidR="003D471D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; </w:t>
      </w:r>
      <w:r w:rsidR="001D1B6C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натрію цитрат; </w:t>
      </w:r>
      <w:r w:rsidR="001D1B6C" w:rsidRPr="00DF06A2">
        <w:rPr>
          <w:rFonts w:ascii="Times New Roman" w:hAnsi="Times New Roman" w:cs="Times New Roman"/>
          <w:sz w:val="24"/>
          <w:szCs w:val="24"/>
          <w:lang w:val="uk-UA"/>
        </w:rPr>
        <w:t>сорбіту розчин, що не кристалізується (Е 420)</w:t>
      </w:r>
      <w:r w:rsidR="001D1B6C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;</w:t>
      </w:r>
      <w:r w:rsidR="00EA5810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 смакова добавка «</w:t>
      </w:r>
      <w:r w:rsidR="001D1B6C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Полуниця</w:t>
      </w:r>
      <w:r w:rsidR="00EA5810" w:rsidRPr="00DF06A2">
        <w:rPr>
          <w:rFonts w:ascii="Times New Roman" w:hAnsi="Times New Roman" w:cs="Times New Roman"/>
          <w:color w:val="000000"/>
          <w:spacing w:val="-1"/>
          <w:sz w:val="24"/>
          <w:szCs w:val="24"/>
          <w:lang w:val="uk-UA"/>
        </w:rPr>
        <w:t>»; вода очищена.</w:t>
      </w:r>
    </w:p>
    <w:p w14:paraId="09E357AD" w14:textId="77777777" w:rsidR="00EA5810" w:rsidRPr="00DF06A2" w:rsidRDefault="00EA5810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71A739D2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Лікарська форма.</w:t>
      </w:r>
      <w:r w:rsidRPr="00DF06A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37FA" w:rsidRPr="00DF06A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Розчин для орального застосування</w:t>
      </w:r>
      <w:r w:rsidR="00AB193D"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37623369" w14:textId="5612360C" w:rsidR="002D023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Основні фізико-хімічні властивості:</w:t>
      </w:r>
      <w:r w:rsidRPr="00DF06A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2852C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</w:t>
      </w:r>
      <w:r w:rsidR="002852C8" w:rsidRPr="002852C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розора рідина з характерним запахом</w:t>
      </w:r>
      <w:r w:rsidR="0028004D" w:rsidRPr="002852C8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.</w:t>
      </w:r>
    </w:p>
    <w:p w14:paraId="4D5B2261" w14:textId="77777777" w:rsidR="00F4168A" w:rsidRPr="00DF06A2" w:rsidRDefault="00F4168A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3C42B7E8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Фармакотерапевтична</w:t>
      </w:r>
      <w:proofErr w:type="spellEnd"/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група.</w:t>
      </w:r>
      <w:r w:rsidRPr="00DF06A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B37FA" w:rsidRPr="00DF06A2">
        <w:rPr>
          <w:rFonts w:ascii="Times New Roman" w:hAnsi="Times New Roman" w:cs="Times New Roman"/>
          <w:sz w:val="24"/>
          <w:szCs w:val="24"/>
          <w:lang w:val="uk-UA"/>
        </w:rPr>
        <w:t>Протиблювотні</w:t>
      </w:r>
      <w:proofErr w:type="spellEnd"/>
      <w:r w:rsidR="00AB37FA"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 засоби та препарати, що усувають нудоту. Антагоністи рецепторів серотоніну (5НТ</w:t>
      </w:r>
      <w:r w:rsidR="00AB37FA" w:rsidRPr="00DF06A2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3</w:t>
      </w:r>
      <w:r w:rsidR="00AB37FA" w:rsidRPr="00DF06A2">
        <w:rPr>
          <w:rFonts w:ascii="Times New Roman" w:hAnsi="Times New Roman" w:cs="Times New Roman"/>
          <w:sz w:val="24"/>
          <w:szCs w:val="24"/>
          <w:lang w:val="uk-UA"/>
        </w:rPr>
        <w:t>). Код АТХ А04А А01.</w:t>
      </w:r>
    </w:p>
    <w:p w14:paraId="669622DC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C43B1F" w14:textId="0B84314C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F06A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Фармакологічні властивості.</w:t>
      </w:r>
    </w:p>
    <w:p w14:paraId="2179173F" w14:textId="77777777" w:rsidR="00EE2843" w:rsidRPr="00DF06A2" w:rsidRDefault="00EE2843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proofErr w:type="spellStart"/>
      <w:r w:rsidRPr="00DF06A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Фармакодинаміка</w:t>
      </w:r>
      <w:proofErr w:type="spellEnd"/>
      <w:r w:rsidRPr="00DF06A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</w:t>
      </w:r>
    </w:p>
    <w:p w14:paraId="664143AC" w14:textId="1375276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Механізм дії</w:t>
      </w:r>
    </w:p>
    <w:p w14:paraId="70CE1C56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– сильнодіючий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високоселективний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антагоніст рецепторів серотоніну (5НТ</w:t>
      </w:r>
      <w:r w:rsidRPr="00DF06A2">
        <w:rPr>
          <w:rFonts w:ascii="Times New Roman" w:eastAsia="Calibri" w:hAnsi="Times New Roman" w:cs="Times New Roman"/>
          <w:sz w:val="24"/>
          <w:szCs w:val="24"/>
          <w:vertAlign w:val="subscript"/>
          <w:lang w:val="uk-UA" w:eastAsia="uk-UA"/>
        </w:rPr>
        <w:t>3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). Механізм дії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при нудоті та блюванні до кінця не з’ясований. 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Променева терапія та хіміотерапія можуть бути причиною вивільнення серотоніну (5НТ) у тонкому кишечнику і збудження закінчень аферентних волокон блукаючого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нерва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шляхом активації 5НТ</w:t>
      </w:r>
      <w:r w:rsidRPr="00DF06A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-рецепторів, що запускає периферичний механізм реалізації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блювального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рефлексу.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блокує ініціацію цього рефлексу. Активація аферентних закінчень блукаючого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нерва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може викликати викид 5НТ у </w:t>
      </w:r>
      <w:proofErr w:type="spellStart"/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area</w:t>
      </w:r>
      <w:proofErr w:type="spellEnd"/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postrema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і, відповідно, ініціацію центрального механізму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блювального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рефлексу. Таким чином,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пригнічує нудоту і блювання, що виникають внаслідок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хіміо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- та радіотерапії, завдяки антагоністичному впливу на 5НТ</w:t>
      </w:r>
      <w:r w:rsidRPr="00DF06A2">
        <w:rPr>
          <w:rFonts w:ascii="Times New Roman" w:eastAsia="Calibri" w:hAnsi="Times New Roman" w:cs="Times New Roman"/>
          <w:sz w:val="24"/>
          <w:szCs w:val="24"/>
          <w:vertAlign w:val="subscript"/>
          <w:lang w:val="uk-UA"/>
        </w:rPr>
        <w:t>3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-рецептори нейронів, розташованих у периферичній та центральній нервовій системі. </w:t>
      </w:r>
    </w:p>
    <w:p w14:paraId="2E21FCF0" w14:textId="5B485DEE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Механізм дії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ондансертону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післяопераційних нудоті </w:t>
      </w:r>
      <w:r w:rsidR="00C70D56"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блюванні остаточно не з’ясований.  </w:t>
      </w:r>
    </w:p>
    <w:p w14:paraId="68F15A07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впливає на концентрацію пролактину у плазмі крові. </w:t>
      </w:r>
    </w:p>
    <w:p w14:paraId="0E17AC64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Роль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 блюванні, спричиненому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опіатами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, до кінця не з’ясована.</w:t>
      </w:r>
    </w:p>
    <w:p w14:paraId="3D3D36BE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F06A2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Фармакокінетика.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</w:p>
    <w:p w14:paraId="7069FCA0" w14:textId="20F3F48C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Після перорального прийому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пасивно і повністю абсорбується </w:t>
      </w:r>
      <w:r w:rsidRPr="004A0C5B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="00E67618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шлунково-кишкового тракту і піддається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пресистемному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метаболізму. Максимальна концентрація в плазмі крові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FB2F5B" w:rsidRPr="004A0C5B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E67618" w:rsidRPr="004A0C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приблизно </w:t>
      </w:r>
      <w:r w:rsidRPr="004A0C5B">
        <w:rPr>
          <w:rFonts w:ascii="Times New Roman" w:eastAsia="Calibri" w:hAnsi="Times New Roman" w:cs="Times New Roman"/>
          <w:sz w:val="24"/>
          <w:szCs w:val="24"/>
          <w:lang w:val="uk-UA"/>
        </w:rPr>
        <w:t>30 </w:t>
      </w:r>
      <w:proofErr w:type="spellStart"/>
      <w:r w:rsidRPr="004A0C5B">
        <w:rPr>
          <w:rFonts w:ascii="Times New Roman" w:eastAsia="Calibri" w:hAnsi="Times New Roman" w:cs="Times New Roman"/>
          <w:sz w:val="24"/>
          <w:szCs w:val="24"/>
          <w:lang w:val="uk-UA"/>
        </w:rPr>
        <w:t>нг</w:t>
      </w:r>
      <w:proofErr w:type="spellEnd"/>
      <w:r w:rsidRPr="004A0C5B">
        <w:rPr>
          <w:rFonts w:ascii="Times New Roman" w:eastAsia="Calibri" w:hAnsi="Times New Roman" w:cs="Times New Roman"/>
          <w:sz w:val="24"/>
          <w:szCs w:val="24"/>
          <w:lang w:val="uk-UA"/>
        </w:rPr>
        <w:t>/мл</w:t>
      </w:r>
      <w:r w:rsidR="00FB2F5B" w:rsidRPr="004A0C5B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досягається приблизно через 1,5 години після прийому дози, що складає 8 мг. При застосуванні у дозах понад 8 мг вміст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крові збільшується непропорційно, оскільки в такому разі може зменшуватися його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пресистемний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метаболізм. Середня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біодоступність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здорових добровольців чоловічої статі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після перорального прийому однієї таблетки 8 мг становить приблизно 55–60</w:t>
      </w:r>
      <w:r w:rsidR="00C85D65" w:rsidRPr="00DF06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%.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Біодоступність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дещо збільшується при одночасному прийомі препарату з їжею, але не змінюється при прийомі з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антацидами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Розподіл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однаковий при застосуванні внутрішньо,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внутрішньом’язово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внутрішньовенно у дорослих, подібний до періоду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напіввиведення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кінцевій фазі 3 години і об’єму розподілу в стані рівноваги 140 л. 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Еквівалентна системна експозиція досягається після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внутрішньом’язового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внутрішньовенного введення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2D0D6BA8" w14:textId="37D613FE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має помірний ступінь зв’язування з білками плазми крові (70–76</w:t>
      </w:r>
      <w:r w:rsidR="00C85D65" w:rsidRPr="00DF06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%).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виводиться із системного кровотоку в основному за допомогою метаболізму в печінці за участю численних ферментних систем. Менше 5</w:t>
      </w:r>
      <w:r w:rsidR="007A222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% абсорбованої дози виводиться у незміненому вигляді </w:t>
      </w:r>
      <w:r w:rsidR="00E67618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4A0C5B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сечею. Відсутність ферменту СYР2D6 (поліморфізм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спартеїн-дебризохінового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типу) не впливає на фармакокінетику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Фармакокінетичні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параметри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залишаються незміненими при його багаторазовому застосуванні.</w:t>
      </w:r>
    </w:p>
    <w:p w14:paraId="76E7C44D" w14:textId="42C9C8EC" w:rsidR="00D565A7" w:rsidRPr="00DF06A2" w:rsidRDefault="00E67618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Особливі групи пацієнтів</w:t>
      </w:r>
    </w:p>
    <w:p w14:paraId="3462A79F" w14:textId="024857CB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Стать</w:t>
      </w:r>
      <w:r w:rsidR="00C70D56"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47C55D19" w14:textId="522DEDF5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Фармакокінетика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залежить від статі пацієнтів. У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жінок відзначаються більша швидкість, ступінь абсорбції і менший системний кліренс, об’єм розподілу (показники скориговані за масою тіла), ніж у </w:t>
      </w:r>
      <w:r w:rsidRPr="004A0C5B">
        <w:rPr>
          <w:rFonts w:ascii="Times New Roman" w:hAnsi="Times New Roman" w:cs="Times New Roman"/>
          <w:sz w:val="24"/>
          <w:szCs w:val="24"/>
          <w:lang w:val="uk-UA" w:eastAsia="ru-RU"/>
        </w:rPr>
        <w:t>чоловіків</w:t>
      </w:r>
      <w:r w:rsidR="00E67618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99155DB" w14:textId="2C5CC28A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Діти</w:t>
      </w:r>
      <w:r w:rsidR="00C70D56"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5797A13A" w14:textId="00C68493" w:rsidR="00D565A7" w:rsidRPr="00DF06A2" w:rsidRDefault="00D565A7" w:rsidP="00CC0230">
      <w:pPr>
        <w:pStyle w:val="af"/>
        <w:rPr>
          <w:rFonts w:ascii="Times New Roman" w:hAnsi="Times New Roman" w:cs="Times New Roman"/>
          <w:sz w:val="24"/>
          <w:szCs w:val="24"/>
          <w:lang w:val="uk-UA"/>
        </w:rPr>
      </w:pPr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Відмінності 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/>
        </w:rPr>
        <w:t>фармакокінетичних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 параметрах частково пояснюються більш високим відсотковим вмістом рідини в організмі у новонароджених і грудних дітей і більш високим об</w:t>
      </w:r>
      <w:r w:rsidR="00C70D56"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’ємом розподілу у дітей віком </w:t>
      </w:r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від 1 до 4 місяців. </w:t>
      </w:r>
    </w:p>
    <w:p w14:paraId="6F1112D9" w14:textId="49F97301" w:rsidR="00D565A7" w:rsidRPr="00DF06A2" w:rsidRDefault="00D565A7" w:rsidP="00CC0230">
      <w:pPr>
        <w:pStyle w:val="af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дітей віком від 3 до 12 років абсолютні значення кліренсу та об’єму розподілу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були знижені </w:t>
      </w:r>
      <w:r w:rsidR="00E67618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порівняно</w:t>
      </w:r>
      <w:r w:rsidR="00E6761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зі значеннями у дорослих. Обидва параметри підвищувалися лінійно залежно від маси тіла, у пацієнтів віком до 12 років ці значення наближались до показників у дорослих. </w:t>
      </w:r>
    </w:p>
    <w:p w14:paraId="7D0CF46E" w14:textId="4640D955" w:rsidR="00D565A7" w:rsidRPr="00DF06A2" w:rsidRDefault="00D565A7" w:rsidP="00CC0230">
      <w:pPr>
        <w:pStyle w:val="af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При корекції показників клірен</w:t>
      </w:r>
      <w:r w:rsidR="00C70D56"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су та об’єму розподілу залежно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маси тіла ці параметри були наближені в різних вікових групах. Розрахунок дози з урахуванням маси тіла компенсує вікові зміни і системну експозицію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дітей. </w:t>
      </w:r>
    </w:p>
    <w:p w14:paraId="750A2BD9" w14:textId="13399FB1" w:rsidR="00D565A7" w:rsidRPr="00DF06A2" w:rsidRDefault="00D565A7" w:rsidP="00CC0230">
      <w:pPr>
        <w:pStyle w:val="af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результатами проведеного дослідження, площа під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фармакокінетичною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кривою «концентрація-час»</w:t>
      </w:r>
      <w:r w:rsidR="008D4BBC" w:rsidRPr="004A0C5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(AUC) після прийому </w:t>
      </w:r>
      <w:r w:rsidR="00E67618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внутрішньо</w:t>
      </w:r>
      <w:r w:rsidR="00E6761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 внутрішньовенного введення дітям і підліткам була подібною до такої у дорослих, за винятком грудних дітей віком від 1 до 4 місяців. Об’єм розподілу </w:t>
      </w:r>
      <w:r w:rsidR="00C70D56"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залежав від віку і був нижчим у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дорослих </w:t>
      </w:r>
      <w:r w:rsidR="00E67618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порівняно</w:t>
      </w:r>
      <w:r w:rsidR="00E6761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показниками у дітей. </w:t>
      </w:r>
    </w:p>
    <w:p w14:paraId="224128D5" w14:textId="541973D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Пацієнти літнього віку</w:t>
      </w:r>
      <w:r w:rsidR="00C70D56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38C836BD" w14:textId="24B004CC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Передбачається більш виражений вплив на інтервал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QTсF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пацієнтів віком </w:t>
      </w:r>
      <w:r w:rsidR="00E67618" w:rsidRPr="004A0C5B">
        <w:rPr>
          <w:rFonts w:ascii="Times New Roman" w:eastAsia="Calibri" w:hAnsi="Times New Roman" w:cs="Times New Roman"/>
          <w:sz w:val="24"/>
          <w:szCs w:val="24"/>
          <w:lang w:val="uk-UA"/>
        </w:rPr>
        <w:t>від</w:t>
      </w:r>
      <w:r w:rsidR="00E6761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75 років, ніж у пацієнтів молодшого віку. </w:t>
      </w:r>
    </w:p>
    <w:p w14:paraId="73E8D5CF" w14:textId="6F7DD485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Пацієнти із порушеннями функції нирок</w:t>
      </w:r>
      <w:r w:rsidR="00C70D56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465F6EA5" w14:textId="42A7FF04" w:rsidR="00D565A7" w:rsidRPr="00DF06A2" w:rsidRDefault="00D565A7" w:rsidP="00CC0230">
      <w:pPr>
        <w:pStyle w:val="af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пацієнтів </w:t>
      </w:r>
      <w:r w:rsidR="00C70D56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з помірною нирковою недостатністю (кліренс креатиніну 15</w:t>
      </w:r>
      <w:r w:rsidR="00C70D56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60 мл/хв) системний </w:t>
      </w:r>
      <w:r w:rsidR="00E67618">
        <w:rPr>
          <w:rFonts w:ascii="Times New Roman" w:hAnsi="Times New Roman" w:cs="Times New Roman"/>
          <w:sz w:val="24"/>
          <w:szCs w:val="24"/>
          <w:lang w:val="uk-UA" w:eastAsia="ru-RU"/>
        </w:rPr>
        <w:t>кліренс і об’єм розподілу знижу</w:t>
      </w:r>
      <w:r w:rsidR="00E67618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ю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ться після внутрішньовенного введення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, що призводить до н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евеликого, клінічно незначущого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збільшення періоду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напіввиведення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(5,4 години). Дослідження за участю пацієнтів </w:t>
      </w:r>
      <w:r w:rsidR="007410FA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="00DF34B2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з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тяжкою нирковою недостатністю, які потребують регулярного гемодіалізу, не показали зміни фармакокінетики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після його внутрішньовенного введення. </w:t>
      </w:r>
    </w:p>
    <w:p w14:paraId="562480F0" w14:textId="2FF2E375" w:rsidR="00D565A7" w:rsidRPr="00DF06A2" w:rsidRDefault="00D565A7" w:rsidP="00CC0230">
      <w:pPr>
        <w:pStyle w:val="af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Пацієнти з порушенням</w:t>
      </w:r>
      <w:r w:rsidR="00CD3E15"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и</w:t>
      </w:r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функції печінки.</w:t>
      </w:r>
    </w:p>
    <w:p w14:paraId="51735E96" w14:textId="3D08A1D4" w:rsidR="00D565A7" w:rsidRPr="00DF06A2" w:rsidRDefault="00D565A7" w:rsidP="00CC0230">
      <w:pPr>
        <w:pStyle w:val="af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пацієнтів 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тяжкими порушеннями функції печінки </w:t>
      </w:r>
      <w:r w:rsidR="00676066" w:rsidRPr="00676066">
        <w:rPr>
          <w:rFonts w:ascii="Times New Roman" w:hAnsi="Times New Roman" w:cs="Times New Roman"/>
          <w:sz w:val="24"/>
          <w:szCs w:val="24"/>
          <w:lang w:val="uk-UA" w:eastAsia="ru-RU"/>
        </w:rPr>
        <w:t>значно</w:t>
      </w:r>
      <w:r w:rsidR="00E67618" w:rsidRPr="00E67618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знижується системний кліренс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зі збільшенням періоду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напіввиведення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15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–</w:t>
      </w:r>
      <w:r w:rsidR="00DF34B2">
        <w:rPr>
          <w:rFonts w:ascii="Times New Roman" w:hAnsi="Times New Roman" w:cs="Times New Roman"/>
          <w:sz w:val="24"/>
          <w:szCs w:val="24"/>
          <w:lang w:val="uk-UA" w:eastAsia="ru-RU"/>
        </w:rPr>
        <w:t>32 годин,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біодоступність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 прийомі </w:t>
      </w:r>
      <w:r w:rsidR="00D80FA4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внутрішньо</w:t>
      </w:r>
      <w:r w:rsidR="00D80FA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досягає 100 % вна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слідок зниження  </w:t>
      </w:r>
      <w:proofErr w:type="spellStart"/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пресистемного</w:t>
      </w:r>
      <w:proofErr w:type="spellEnd"/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метаболізму.</w:t>
      </w:r>
    </w:p>
    <w:p w14:paraId="631055BE" w14:textId="77777777" w:rsidR="005810E7" w:rsidRPr="00DF06A2" w:rsidRDefault="005810E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128E414" w14:textId="77777777" w:rsidR="00D80FA4" w:rsidRDefault="00D80FA4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4B642ED" w14:textId="3DDD62ED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Клінічні характеристики.</w:t>
      </w:r>
    </w:p>
    <w:p w14:paraId="5F323CF6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Показання. </w:t>
      </w:r>
    </w:p>
    <w:p w14:paraId="3DB3EEF7" w14:textId="7DF6BDAC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Дорослі</w:t>
      </w:r>
      <w:r w:rsidR="007410FA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3AE34C74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Лікування нудоти та блювання, спричинених цитотоксичною хіміотерапією та променевою терапією.</w:t>
      </w:r>
    </w:p>
    <w:p w14:paraId="3CF8C5FF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Профілактика післяопераційних нудоти і блювання. </w:t>
      </w:r>
    </w:p>
    <w:p w14:paraId="2ED0A8E5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лікування післяопераційних нудоти і блювання рекомендовано застосовувати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 вигляді розчину для ін’єкцій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5EC2A31" w14:textId="2CC811CA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Діти</w:t>
      </w:r>
      <w:r w:rsidR="00FF29FF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201B5AD7" w14:textId="74D2B5C9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ікування нудоти та блювання, спричинених цитотокс</w:t>
      </w:r>
      <w:r w:rsidR="00C768E3">
        <w:rPr>
          <w:rFonts w:ascii="Times New Roman" w:eastAsia="Calibri" w:hAnsi="Times New Roman" w:cs="Times New Roman"/>
          <w:sz w:val="24"/>
          <w:szCs w:val="24"/>
          <w:lang w:val="uk-UA"/>
        </w:rPr>
        <w:t>ичною хіміотерапією для дітей ≥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6 місяців.</w:t>
      </w:r>
    </w:p>
    <w:p w14:paraId="5478B70E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 дані досліджень щодо застосування перорального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дітей віком від 1 місяця для профілактики чи лікування післяопераційних нудоти і блювання, тому у цьому випадку рекомендовано застосовувати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вигляді розчину для ін’єкцій.</w:t>
      </w:r>
    </w:p>
    <w:p w14:paraId="26B36B25" w14:textId="77777777" w:rsidR="006E6824" w:rsidRPr="00DF06A2" w:rsidRDefault="006E6824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4C2239B7" w14:textId="77777777" w:rsidR="006E6824" w:rsidRPr="00DF06A2" w:rsidRDefault="006E6824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Протипоказання. </w:t>
      </w:r>
    </w:p>
    <w:p w14:paraId="580D0210" w14:textId="77777777" w:rsidR="006E6824" w:rsidRPr="00DF06A2" w:rsidRDefault="006E6824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Сумісне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застосування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разом з 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апоморфіну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гідрохлоридом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0614FED3" w14:textId="77777777" w:rsidR="006E6824" w:rsidRPr="00DF06A2" w:rsidRDefault="006E6824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Підвищена чутливість до будь-якого компонента препарату.</w:t>
      </w:r>
    </w:p>
    <w:p w14:paraId="6E80A46A" w14:textId="77777777" w:rsidR="006F0C95" w:rsidRPr="00DF06A2" w:rsidRDefault="006F0C95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8306673" w14:textId="77777777" w:rsidR="00DB0C1C" w:rsidRPr="00DF06A2" w:rsidRDefault="00DB0C1C" w:rsidP="00CC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Взаємодія з іншими лікарськими засобами та інші види взаємодій. </w:t>
      </w:r>
    </w:p>
    <w:p w14:paraId="777BE5DD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Немає свідчень того, що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прискорює чи гальмує метаболізм інших препаратів при одночасному застосуванні. Було показано, що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не взаємодіє з алкоголем,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темазепамом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фуросемідом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алфентанілом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трамадолом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морфіном,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лідокаїном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тіопенталом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пропофолом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672E50E9" w14:textId="5699C871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метаболізується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різними ферментами цитохрому Р450 печінки: CYP3A4, CYP2D6 та CYP1A2. </w:t>
      </w:r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Завдяки різноманітності ферментів метаболізму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 гальмування або зменшення активності одного з них (наприклад, генетичний дефіцит CYP2D6) у звичайних умовах компенсується іншими ферментами і не буде мати впливу н</w:t>
      </w:r>
      <w:r w:rsidR="00AB3F80"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а загальний кліренс </w:t>
      </w:r>
      <w:proofErr w:type="spellStart"/>
      <w:r w:rsidR="00AB3F80" w:rsidRPr="00DF06A2">
        <w:rPr>
          <w:rFonts w:ascii="Times New Roman" w:hAnsi="Times New Roman" w:cs="Times New Roman"/>
          <w:sz w:val="24"/>
          <w:szCs w:val="24"/>
          <w:lang w:val="uk-UA"/>
        </w:rPr>
        <w:t>ондасетрону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7410FA"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бо такий вплив </w:t>
      </w:r>
      <w:r w:rsidRPr="00DF06A2">
        <w:rPr>
          <w:rFonts w:ascii="Times New Roman" w:hAnsi="Times New Roman" w:cs="Times New Roman"/>
          <w:sz w:val="24"/>
          <w:szCs w:val="24"/>
          <w:lang w:val="uk-UA"/>
        </w:rPr>
        <w:t>буде незначним.</w:t>
      </w:r>
    </w:p>
    <w:p w14:paraId="76E2DDC6" w14:textId="64AB8438" w:rsidR="00D565A7" w:rsidRPr="00DF06A2" w:rsidRDefault="00D565A7" w:rsidP="00CC0230">
      <w:pPr>
        <w:pStyle w:val="af"/>
        <w:rPr>
          <w:rFonts w:ascii="Times New Roman" w:hAnsi="Times New Roman" w:cs="Times New Roman"/>
          <w:sz w:val="24"/>
          <w:szCs w:val="24"/>
          <w:lang w:val="uk-UA"/>
        </w:rPr>
      </w:pPr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З обережністю слід застосовувати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/>
        </w:rPr>
        <w:t xml:space="preserve"> разом </w:t>
      </w:r>
      <w:r w:rsidR="007410FA" w:rsidRPr="00DF06A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F06A2">
        <w:rPr>
          <w:rFonts w:ascii="Times New Roman" w:hAnsi="Times New Roman" w:cs="Times New Roman"/>
          <w:sz w:val="24"/>
          <w:szCs w:val="24"/>
          <w:lang w:val="uk-UA"/>
        </w:rPr>
        <w:t>з лікарськими засобами, що подовжують інтервал QT та/або спричиняють порушення електролітного балансу (див. розділ «Особливості застосування»).</w:t>
      </w:r>
    </w:p>
    <w:p w14:paraId="7862DAAE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Застосування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іншими лікарськими засобами, що подовжують інтервал QT, може спричинити додаткове подовження цього інтервалу.</w:t>
      </w:r>
    </w:p>
    <w:p w14:paraId="036C38D4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Сумісне застосування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кардіотоксичними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лікарськими засобами (наприклад, із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антрациклінами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доксорубіцин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даунорубіцин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або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трастузумабом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), антибіотиками (еритроміцин), протигрибковими препаратами (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кетоконазол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антиаритмічними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засобами (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аміодарон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) і бета-блокаторами (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атенолол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чи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тимолол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може збільшувати ризик виникнення аритмій 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(див. розділ «Особливості застосування»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14:paraId="69CCDAFB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proofErr w:type="spellStart"/>
      <w:r w:rsidRPr="00DF06A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Серотонінергетики</w:t>
      </w:r>
      <w:proofErr w:type="spellEnd"/>
      <w:r w:rsidRPr="00DF06A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(наприклад, селективні інгібітори зворотного захоплення серотоніну (СІЗЗС) та інгібітори зворотного захоплення серотоніну та </w:t>
      </w:r>
      <w:proofErr w:type="spellStart"/>
      <w:r w:rsidRPr="00DF06A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норадреналіну</w:t>
      </w:r>
      <w:proofErr w:type="spellEnd"/>
      <w:r w:rsidRPr="00DF06A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(ІЗЗСН).</w:t>
      </w:r>
    </w:p>
    <w:p w14:paraId="72F9B156" w14:textId="48E2D13A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Є дані про виникнення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серотонінового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синдрому (включаючи зміну психічного статусу, нестабільність функціонування вегетативної нервової системи і нервово-м’яз</w:t>
      </w:r>
      <w:r w:rsidR="007410FA"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ові порушення) у пацієнтів, які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одночасно застосовували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інші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серотонінергічні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лікарські </w:t>
      </w:r>
      <w:r w:rsidRPr="00F94D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засоби</w:t>
      </w:r>
      <w:r w:rsidR="00C768E3" w:rsidRPr="00F94DAC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C768E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у тому числі СІЗЗС та ІЗЗСН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(див. розділ «Особливості застосування»).</w:t>
      </w:r>
    </w:p>
    <w:p w14:paraId="70152E7E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Апоморфін.</w:t>
      </w:r>
    </w:p>
    <w:p w14:paraId="77A59A85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Застосування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разом з апоморфіну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гідрохлоридом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протипоказане, оскільки спостерігалися випадки  артеріальної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гіпотензії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втрати свідомості під час сумісного застосування.</w:t>
      </w:r>
    </w:p>
    <w:p w14:paraId="2725DF2C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proofErr w:type="spellStart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Фенітоїн</w:t>
      </w:r>
      <w:proofErr w:type="spellEnd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карбамазепін</w:t>
      </w:r>
      <w:proofErr w:type="spellEnd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і </w:t>
      </w:r>
      <w:proofErr w:type="spellStart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рифампіцин</w:t>
      </w:r>
      <w:proofErr w:type="spellEnd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72EF6263" w14:textId="4B3410BE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пацієнтів, які отримують лікування потенційними індукторами CYP3A4 (наприклад,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фенітоїном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карбамазепіном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рифампіцином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), кліренс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(при перорал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ьному прийомі) збільшується, а </w:t>
      </w:r>
      <w:r w:rsidR="00164AD3">
        <w:rPr>
          <w:rFonts w:ascii="Times New Roman" w:hAnsi="Times New Roman" w:cs="Times New Roman"/>
          <w:sz w:val="24"/>
          <w:szCs w:val="24"/>
          <w:lang w:val="uk-UA" w:eastAsia="ru-RU"/>
        </w:rPr>
        <w:t>концентрація у крові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зменшується.</w:t>
      </w:r>
    </w:p>
    <w:p w14:paraId="649E7423" w14:textId="7293256D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proofErr w:type="spellStart"/>
      <w:r w:rsidRPr="00DF06A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Трамадол</w:t>
      </w:r>
      <w:proofErr w:type="spellEnd"/>
      <w:r w:rsidR="007410FA" w:rsidRPr="00DF06A2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.</w:t>
      </w:r>
    </w:p>
    <w:p w14:paraId="2DDA4C71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може зменшувати аналгетичний ефект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трамадолу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14:paraId="533ADA31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</w:p>
    <w:p w14:paraId="13D17B78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Особливості застосування.</w:t>
      </w:r>
    </w:p>
    <w:p w14:paraId="7A41A1CC" w14:textId="09A71C89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Повідомлялося про випадки реакцій підвищеної чутливості у пацієнтів, які мали в анамнезі підвищену чутливість до інших селективних антагоністів 5НТ</w:t>
      </w:r>
      <w:r w:rsidRPr="00DF06A2">
        <w:rPr>
          <w:rFonts w:ascii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-рецепторів. Розлади дихання 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потрібно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лікувати симптоматично, лікарям слід звертати 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них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особливу увагу, оскільки вони можуть бути передвісниками реакцій підвищеної чутливості. </w:t>
      </w:r>
    </w:p>
    <w:p w14:paraId="42E918AE" w14:textId="0A94D4F4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дозозалежній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формі подовжує інтервал QT 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(див. розділ «Фармакологічні властивості»)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Повідомлялося про випадки </w:t>
      </w:r>
      <w:proofErr w:type="spellStart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Torsade</w:t>
      </w:r>
      <w:proofErr w:type="spellEnd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de</w:t>
      </w:r>
      <w:proofErr w:type="spellEnd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Pointes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пацієнтів, які застосовували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. Слід уникати застос</w:t>
      </w:r>
      <w:r w:rsidR="00164A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ування </w:t>
      </w:r>
      <w:proofErr w:type="spellStart"/>
      <w:r w:rsidR="00164AD3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="00164A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AD3" w:rsidRPr="00F94DAC">
        <w:rPr>
          <w:rFonts w:ascii="Times New Roman" w:hAnsi="Times New Roman" w:cs="Times New Roman"/>
          <w:sz w:val="24"/>
          <w:szCs w:val="24"/>
          <w:lang w:val="uk-UA" w:eastAsia="ru-RU"/>
        </w:rPr>
        <w:t>пацієнтам</w:t>
      </w:r>
      <w:r w:rsidR="007410FA" w:rsidRPr="00F94D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164AD3" w:rsidRPr="00F94DAC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F94DA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вродженим синдромом подовження QT.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потрібно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обережністю </w:t>
      </w:r>
      <w:r w:rsidR="00164AD3" w:rsidRPr="00F94DAC">
        <w:rPr>
          <w:rFonts w:ascii="Times New Roman" w:hAnsi="Times New Roman" w:cs="Times New Roman"/>
          <w:sz w:val="24"/>
          <w:szCs w:val="24"/>
          <w:lang w:val="uk-UA" w:eastAsia="ru-RU"/>
        </w:rPr>
        <w:t>застосовувати</w:t>
      </w:r>
      <w:r w:rsidR="00164AD3" w:rsidRPr="00164AD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 лікуванні пацієнтів, які мають або у яких може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розвинутися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подовження інтервалу QT, включаючи пацієнтів із порушеннями електролітного балансу, застійною серцевою недостатністю,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брадиаритмією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 пацієнтів, які лікуються іншими препаратами, що можуть спричинити подовження інтервалу QT або порушення електролітного балансу. </w:t>
      </w:r>
    </w:p>
    <w:p w14:paraId="03649193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Перед початком застосування слід скорегувати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гіпокаліємію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гіпомагніємію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44315705" w14:textId="012C125F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Є дані про виникнення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серотонінового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синдрому (включаючи зміну психічного статусу, нестабільність функціонування вегетативної нервової системи і нервово-м’язо</w:t>
      </w:r>
      <w:r w:rsidR="007410FA"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ві порушення) у пацієнтів, які 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одночасно застосовували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та інші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серотонінергічні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лікарські засоби</w:t>
      </w:r>
      <w:r w:rsidR="00164AD3" w:rsidRPr="00901B0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</w:t>
      </w:r>
      <w:r w:rsidR="00164AD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у тому числі СІЗЗС та ІЗЗСН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(див. розділ «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Взаємодія з іншими лікарськими засобами та інші види взаємодій</w:t>
      </w: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»).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Якщо одночасне лікування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ондансетроном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іншими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серотонінергічними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препаратами є клінічно обґрунтованим, рекомендується відповідне спостереження за пацієнтом.</w:t>
      </w:r>
    </w:p>
    <w:p w14:paraId="33E43182" w14:textId="769C9674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Оскільки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послаблює перистальтику кишечн</w:t>
      </w:r>
      <w:r w:rsidRPr="00F94DAC">
        <w:rPr>
          <w:rFonts w:ascii="Times New Roman" w:hAnsi="Times New Roman" w:cs="Times New Roman"/>
          <w:sz w:val="24"/>
          <w:szCs w:val="24"/>
          <w:lang w:val="uk-UA" w:eastAsia="ru-RU"/>
        </w:rPr>
        <w:t>ик</w:t>
      </w:r>
      <w:r w:rsidR="00164AD3" w:rsidRPr="00F94DAC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, потріб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ен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ретельний нагляд за пацієнтами з ознаками непрохідності кишечни</w:t>
      </w:r>
      <w:r w:rsidRPr="00F94DAC"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="00164AD3" w:rsidRPr="00F94DAC">
        <w:rPr>
          <w:rFonts w:ascii="Times New Roman" w:hAnsi="Times New Roman" w:cs="Times New Roman"/>
          <w:sz w:val="24"/>
          <w:szCs w:val="24"/>
          <w:lang w:val="uk-UA" w:eastAsia="ru-RU"/>
        </w:rPr>
        <w:t>у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після застосування препарату.</w:t>
      </w:r>
    </w:p>
    <w:p w14:paraId="544C2822" w14:textId="21DDCF06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пацієнтів, яким проводиться хірургічне втручання в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аденотонзилярній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ділянці, застосування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профілактики нудоти та блювання може маскувати виникнення кровотечі. Тому такі хворі потребують ретельно</w:t>
      </w:r>
      <w:r w:rsidR="007410FA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го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нагляду після застосування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14:paraId="08AC8D60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Необхідно проводити постійний моніторинг порушення функції печінки у дітей, які приймають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разом із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гепатотоксичними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хіміотерапевтичними засобами.</w:t>
      </w:r>
    </w:p>
    <w:p w14:paraId="29D6327D" w14:textId="27811603" w:rsidR="005D42C5" w:rsidRPr="00DF06A2" w:rsidRDefault="00D565A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Препарат містить сорбіт. Енергетична цінність 1 г сорбіту – 2,6 ккал. Сорбіт може чинити м</w:t>
      </w:r>
      <w:r w:rsidR="00164AD3" w:rsidRPr="004A0C5B">
        <w:rPr>
          <w:rFonts w:ascii="Times New Roman" w:hAnsi="Times New Roman" w:cs="Times New Roman"/>
          <w:sz w:val="24"/>
          <w:szCs w:val="24"/>
          <w:lang w:val="uk-UA" w:eastAsia="ru-RU"/>
        </w:rPr>
        <w:t>’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яку послаблюючу дію. </w:t>
      </w:r>
      <w:r w:rsidR="00164AD3" w:rsidRPr="00901B0E">
        <w:rPr>
          <w:rFonts w:ascii="Times New Roman" w:hAnsi="Times New Roman" w:cs="Times New Roman"/>
          <w:sz w:val="24"/>
          <w:szCs w:val="24"/>
          <w:lang w:val="uk-UA" w:eastAsia="ru-RU"/>
        </w:rPr>
        <w:t>У разі встановлення непереносимості деяких цукрів слід</w:t>
      </w:r>
      <w:r w:rsidRPr="00901B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76972">
        <w:rPr>
          <w:rFonts w:ascii="Times New Roman" w:hAnsi="Times New Roman" w:cs="Times New Roman"/>
          <w:sz w:val="24"/>
          <w:szCs w:val="24"/>
          <w:lang w:val="uk-UA" w:eastAsia="ru-RU"/>
        </w:rPr>
        <w:t>проконсульту</w:t>
      </w:r>
      <w:r w:rsidR="00164AD3" w:rsidRPr="00776972">
        <w:rPr>
          <w:rFonts w:ascii="Times New Roman" w:hAnsi="Times New Roman" w:cs="Times New Roman"/>
          <w:sz w:val="24"/>
          <w:szCs w:val="24"/>
          <w:lang w:val="uk-UA" w:eastAsia="ru-RU"/>
        </w:rPr>
        <w:t>ватися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лікарем, перш ніж приймати цей лікарський засіб.</w:t>
      </w:r>
    </w:p>
    <w:p w14:paraId="616F8E5B" w14:textId="77777777" w:rsidR="00D565A7" w:rsidRPr="00DF06A2" w:rsidRDefault="00D565A7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14:paraId="195BB091" w14:textId="77777777" w:rsidR="0065657D" w:rsidRPr="00DF06A2" w:rsidRDefault="0065657D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Застосування у період вагітності або годування груддю.</w:t>
      </w:r>
    </w:p>
    <w:p w14:paraId="41F59850" w14:textId="638E0076" w:rsidR="00061FBD" w:rsidRPr="00DF06A2" w:rsidRDefault="00061FBD" w:rsidP="0006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інки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дітородного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віку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4AD3" w:rsidRPr="00901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</w:t>
      </w:r>
      <w:r w:rsidR="00164AD3" w:rsidRPr="00164AD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="00164AD3" w:rsidRPr="00164AD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,</w:t>
      </w:r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повинні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розглянути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контрацепції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C79FE7C" w14:textId="1F24DA6D" w:rsidR="00061FBD" w:rsidRPr="00DF06A2" w:rsidRDefault="00061FBD" w:rsidP="0006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Вагітність</w:t>
      </w:r>
    </w:p>
    <w:p w14:paraId="05E101B8" w14:textId="02C1A2BC" w:rsidR="00061FBD" w:rsidRPr="00DF06A2" w:rsidRDefault="00061FBD" w:rsidP="00061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проведе</w:t>
      </w:r>
      <w:r w:rsidR="00FB1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 епідеміологічних досліджень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підозрюється, спричиняє вади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щелепно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-лицьової </w:t>
      </w:r>
      <w:r w:rsidR="00FB1BBE" w:rsidRPr="00901B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ділянки</w:t>
      </w:r>
      <w:r w:rsidR="00FB1BBE" w:rsidRPr="00FB1BB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застосуванні протягом першого триместру вагітності. В одному з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когортних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досліджень, що включало 1,8 мільйона вагітностей, застосування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першому триместрі було пов’язано з підвищеним ризиком розщеплення у ротовій порож</w:t>
      </w:r>
      <w:r w:rsidR="00FB1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нині (3 додаткові випадки на 10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000 жінок, які отримували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ско</w:t>
      </w:r>
      <w:r w:rsidR="00FB1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ригований відносний ризик, 1,24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(95 % СІ 1,03-1,48)). Доступні епідеміологічні дослідження серцевих вад показують суперечливі результати. Дослідження на тваринах не вказують на прямі чи опосередковані шкідливі ефекти щодо репродуктивної токсичності.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слід застосовувати протягом першого триместру вагітності.</w:t>
      </w:r>
    </w:p>
    <w:p w14:paraId="6D9685EA" w14:textId="428B180B" w:rsidR="00061FBD" w:rsidRPr="00FB1BBE" w:rsidRDefault="00FB1BBE" w:rsidP="00061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Годування груддю</w:t>
      </w:r>
    </w:p>
    <w:p w14:paraId="69E16649" w14:textId="0456A49B" w:rsidR="00061FBD" w:rsidRPr="00DF06A2" w:rsidRDefault="00061FBD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експериментальних дослідженнях було показано, що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ондансетрон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проникає у грудне молоко тварин. У разі необхідності застосування препарату жінкам слід припинити годування груддю.</w:t>
      </w:r>
    </w:p>
    <w:p w14:paraId="431C5151" w14:textId="704F865B" w:rsidR="00C175D5" w:rsidRPr="00DF06A2" w:rsidRDefault="00C175D5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u w:val="single"/>
          <w:lang w:val="uk-UA" w:eastAsia="uk-UA"/>
        </w:rPr>
        <w:t>Фертильність</w:t>
      </w:r>
    </w:p>
    <w:p w14:paraId="30686060" w14:textId="77777777" w:rsidR="00C175D5" w:rsidRPr="00DF06A2" w:rsidRDefault="00C175D5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Дані щодо впливу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на фертильність людини відсутні.</w:t>
      </w:r>
    </w:p>
    <w:p w14:paraId="7361A8F1" w14:textId="77777777" w:rsidR="00061FBD" w:rsidRPr="00DF06A2" w:rsidRDefault="00061FBD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</w:pPr>
    </w:p>
    <w:p w14:paraId="2EB196B3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Здатність впливати на швидкість реакції при керуванні автотранспортом або іншими механізмами. </w:t>
      </w:r>
    </w:p>
    <w:p w14:paraId="6DEF1429" w14:textId="77777777" w:rsidR="00862288" w:rsidRPr="00DF06A2" w:rsidRDefault="00862288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Психомоторні тести показали, що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впливає на здатність керувати механізмами і не чинить седативної дії. Виходячи з фармакології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згубного впливу на таку діяльність не передбачено.</w:t>
      </w:r>
    </w:p>
    <w:p w14:paraId="07E55F83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C2F8FE5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Спосіб застосування та дози.</w:t>
      </w:r>
    </w:p>
    <w:p w14:paraId="07B00EF9" w14:textId="465FC892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Нудота та блювання, спричинені хіміо</w:t>
      </w:r>
      <w:r w:rsidR="00FB1BBE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терапією та променевою терапією</w:t>
      </w:r>
    </w:p>
    <w:p w14:paraId="083B2494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Вибір режиму дозування визначається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еметогенністю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протипухлинної терапії.</w:t>
      </w:r>
    </w:p>
    <w:p w14:paraId="5FF6E521" w14:textId="4147CEAC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Дорослі</w:t>
      </w:r>
      <w:r w:rsidR="007410FA"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1DC11901" w14:textId="4CC5D49C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 w:rsidRPr="00DF06A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Еметогенна</w:t>
      </w:r>
      <w:proofErr w:type="spellEnd"/>
      <w:r w:rsidRPr="00DF06A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хі</w:t>
      </w:r>
      <w:r w:rsidR="00FB1BBE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міотерапія та променева терапія</w:t>
      </w:r>
      <w:r w:rsidRPr="00DF06A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p w14:paraId="13E8F210" w14:textId="458A784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8 мг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(10 мл)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за 1–2 години до початку проведення хіміотерапії або променевої терапії з наступним прийомом 8 мг (10 мл) кожні 12 годин протягом не більше 5 д</w:t>
      </w:r>
      <w:r w:rsidR="008177F5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іб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A9B1A37" w14:textId="2067F8C0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proofErr w:type="spellStart"/>
      <w:r w:rsidRPr="00DF06A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Високоеметогенна</w:t>
      </w:r>
      <w:proofErr w:type="spellEnd"/>
      <w:r w:rsidRPr="00DF06A2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хіміотерапія</w:t>
      </w:r>
    </w:p>
    <w:p w14:paraId="5B4997FB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24 мг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(30 мл) одночасно з 12 мг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дексаметазону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внутрішньо за 1–2 години до початку проведення хіміотерапії. </w:t>
      </w:r>
    </w:p>
    <w:p w14:paraId="31585685" w14:textId="2CC4753E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Для профілактики відстроченого або тривалого блювання після перших 24 годин рекомендується приймати 8 мг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(10 мл)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 рази на добу протягом не більше 5 д</w:t>
      </w:r>
      <w:r w:rsidR="008177F5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іб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після курсу лікування. </w:t>
      </w:r>
    </w:p>
    <w:p w14:paraId="24FBFA18" w14:textId="07D2915C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Діти віком від 6 місяців</w:t>
      </w:r>
      <w:r w:rsidR="008177F5"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71B63306" w14:textId="77777777" w:rsidR="00554427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Доза розраховується за площею поверхні або за масою тіла. </w:t>
      </w:r>
    </w:p>
    <w:p w14:paraId="0ED683FE" w14:textId="77777777" w:rsidR="008177F5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 площею поверхні тіла</w:t>
      </w:r>
    </w:p>
    <w:p w14:paraId="53E229BC" w14:textId="47151068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призначають безпосередньо перед хіміотерапією у вигляді одноразової внутрішньовенної ін’єкції у дозі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5 мг/м</w:t>
      </w:r>
      <w:r w:rsidRPr="00DF06A2">
        <w:rPr>
          <w:rFonts w:ascii="Times New Roman" w:hAnsi="Times New Roman" w:cs="Times New Roman"/>
          <w:sz w:val="24"/>
          <w:szCs w:val="24"/>
          <w:vertAlign w:val="superscript"/>
          <w:lang w:val="uk-UA" w:eastAsia="ru-RU"/>
        </w:rPr>
        <w:t>2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. Внутрішньовенна доза не повинна перевищувати 8 мг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. Пероральне застосування розпочинають через 12 годин і продовжують до 5 д</w:t>
      </w:r>
      <w:r w:rsidR="008177F5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іб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(таблиця 1). Загальна добова доза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(розділена на декілька прийомів) не повинна перевищувати 32 мг.</w:t>
      </w:r>
    </w:p>
    <w:p w14:paraId="2667FB06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E15D3F7" w14:textId="1C0EDF19" w:rsidR="00554427" w:rsidRPr="00901B0E" w:rsidRDefault="00FB1BBE" w:rsidP="00FB1BB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01B0E">
        <w:rPr>
          <w:rFonts w:ascii="Times New Roman" w:hAnsi="Times New Roman" w:cs="Times New Roman"/>
          <w:sz w:val="24"/>
          <w:szCs w:val="24"/>
          <w:lang w:val="uk-UA" w:eastAsia="ru-RU"/>
        </w:rPr>
        <w:t>Таблиця 1</w:t>
      </w:r>
    </w:p>
    <w:tbl>
      <w:tblPr>
        <w:tblW w:w="936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7"/>
        <w:gridCol w:w="3886"/>
        <w:gridCol w:w="4253"/>
      </w:tblGrid>
      <w:tr w:rsidR="00554427" w:rsidRPr="00DF06A2" w14:paraId="53FE2A76" w14:textId="77777777" w:rsidTr="00141CD1">
        <w:trPr>
          <w:trHeight w:val="517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71B32D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 поверхні тіла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F39658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1-й день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DB9560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2-го по 6-й дні</w:t>
            </w:r>
          </w:p>
        </w:tc>
      </w:tr>
      <w:tr w:rsidR="00554427" w:rsidRPr="00DF06A2" w14:paraId="24D2576B" w14:textId="77777777" w:rsidTr="00141CD1">
        <w:trPr>
          <w:trHeight w:val="639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FDF9C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&lt; 0,6 м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224F57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мг/м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внутрішньовенно, </w:t>
            </w:r>
          </w:p>
          <w:p w14:paraId="354ABD7C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потім 2,5  мл (2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через 12 годин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401B6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2,5 мл (2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кожні 12 годин </w:t>
            </w:r>
          </w:p>
        </w:tc>
      </w:tr>
      <w:tr w:rsidR="00554427" w:rsidRPr="00DF06A2" w14:paraId="11953EDE" w14:textId="77777777" w:rsidTr="00141CD1">
        <w:trPr>
          <w:trHeight w:val="691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707578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≥ 0,6 м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</w:p>
          <w:p w14:paraId="59574F03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≤ 1,2 м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F1ECE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мг/м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внутрішньовенно, </w:t>
            </w:r>
          </w:p>
          <w:p w14:paraId="78CD69D9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потім 5 мл (4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через 12 годин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629FB1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 мл (4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кожні 12 годин</w:t>
            </w:r>
          </w:p>
        </w:tc>
      </w:tr>
      <w:tr w:rsidR="00554427" w:rsidRPr="00DF06A2" w14:paraId="6A7D11D1" w14:textId="77777777" w:rsidTr="00141CD1">
        <w:trPr>
          <w:trHeight w:val="623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997DFA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&gt; 1,2 м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82A38F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 мг/м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або 8 мг внутрішньовенно, потім 10 мл (8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через 12 годин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96039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 мл (8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кожні 12 годин</w:t>
            </w:r>
            <w:r w:rsidRPr="00DF06A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14:paraId="5B217815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06062F3" w14:textId="77777777" w:rsidR="001A0CD6" w:rsidRDefault="001A0CD6" w:rsidP="00CC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CC0BFC6" w14:textId="77777777" w:rsidR="001A0CD6" w:rsidRDefault="001A0CD6" w:rsidP="00CC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2E08B2D1" w14:textId="77777777" w:rsidR="00554427" w:rsidRPr="00283449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283449">
        <w:rPr>
          <w:rFonts w:ascii="Times New Roman" w:hAnsi="Times New Roman" w:cs="Times New Roman"/>
          <w:b/>
          <w:sz w:val="24"/>
          <w:szCs w:val="24"/>
          <w:lang w:val="uk-UA" w:eastAsia="ru-RU"/>
        </w:rPr>
        <w:t>За масою тіла</w:t>
      </w:r>
    </w:p>
    <w:p w14:paraId="4A04A5E8" w14:textId="77777777" w:rsidR="004C34E2" w:rsidRPr="00BF3A2C" w:rsidRDefault="004C34E2" w:rsidP="004C3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Загальна добова доза, розрахована за масою тіла, більша порівняно із загальною добовою дозою, розрахованою за </w:t>
      </w:r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площею поверхні тіла.</w:t>
      </w:r>
      <w:r w:rsidRPr="00BF3A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EC0D910" w14:textId="0266378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призначають безпосередньо перед хіміотерапією у вигляді одноразової внутрішньовенної ін’єкції у дозі 0,15 мг/кг маси тіла. Внутрішньовенна доза не повинна перевищувати 8 мг. У подальшому можливе введення двох внутрішньовенних ін’єкцій з інтервалом 4 години. Пероральне застосування розпочинають через 12 годин і продовжують до 5 д</w:t>
      </w:r>
      <w:r w:rsidR="008177F5"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іб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(таблиця 2). 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добова доза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(розділена на декілька прийомів) не повинна перевищувати 32 мг.</w:t>
      </w:r>
    </w:p>
    <w:p w14:paraId="67540C2F" w14:textId="573188BD" w:rsidR="00554427" w:rsidRPr="00DF06A2" w:rsidRDefault="00FB1BBE" w:rsidP="00FB1BBE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Таблиця 2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3685"/>
        <w:gridCol w:w="4096"/>
      </w:tblGrid>
      <w:tr w:rsidR="00554427" w:rsidRPr="00DF06A2" w14:paraId="73A94B57" w14:textId="77777777" w:rsidTr="00CF7E8A">
        <w:trPr>
          <w:trHeight w:val="52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644AF5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Маса тіла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C515B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1-й день  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9B3F2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2-го по 6-й дні</w:t>
            </w:r>
          </w:p>
        </w:tc>
      </w:tr>
      <w:tr w:rsidR="00554427" w:rsidRPr="00DF06A2" w14:paraId="76454497" w14:textId="77777777" w:rsidTr="00CF7E8A">
        <w:trPr>
          <w:trHeight w:val="66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C2F55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≤ 10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70AAEC" w14:textId="5AACC458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3 доз по 0,15 мг/кг внутрішньовенно кожні 4 години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59C773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2,5 мл (2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кожні 12 годин</w:t>
            </w:r>
          </w:p>
        </w:tc>
      </w:tr>
      <w:tr w:rsidR="00554427" w:rsidRPr="00DF06A2" w14:paraId="1C9D1DD7" w14:textId="77777777" w:rsidTr="00CF7E8A">
        <w:trPr>
          <w:trHeight w:val="70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54F70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&gt; 10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55BD1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3 доз по 0,15 мг/кг внутрішньовенно кожні 4 години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062DB" w14:textId="77777777" w:rsidR="00554427" w:rsidRPr="00DF06A2" w:rsidRDefault="00554427" w:rsidP="00CC02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 мл (4 мг) </w:t>
            </w:r>
            <w:proofErr w:type="spellStart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перорально</w:t>
            </w:r>
            <w:proofErr w:type="spellEnd"/>
            <w:r w:rsidRPr="00DF06A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кожні 12 годин</w:t>
            </w:r>
          </w:p>
        </w:tc>
      </w:tr>
    </w:tbl>
    <w:p w14:paraId="528E7003" w14:textId="64E46E69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Пацієнти літнього віку</w:t>
      </w:r>
      <w:r w:rsidR="008177F5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3D6BF1B1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Корекції дози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ондансертону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пацієнтів літнього віку не потрібно. </w:t>
      </w:r>
    </w:p>
    <w:p w14:paraId="7123DB87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Нудота і блювання в післяопераційному періоді </w:t>
      </w:r>
    </w:p>
    <w:p w14:paraId="07A9CE25" w14:textId="446B568E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Дорослі</w:t>
      </w:r>
      <w:r w:rsidR="008177F5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18561DE9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16 мг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(20 мл)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1 годину до 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проведення анестезії.</w:t>
      </w:r>
    </w:p>
    <w:p w14:paraId="3AC63D86" w14:textId="56035FE4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Для зупинки післяопераційної нудоти та блювання застосовують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формі розчину для ін’єкцій.</w:t>
      </w:r>
    </w:p>
    <w:p w14:paraId="62331B43" w14:textId="56EAE633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Діти віком від 1 місяця</w:t>
      </w:r>
      <w:r w:rsidR="008177F5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5DA9D485" w14:textId="393C3C8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При цьому показанні рекомендує</w:t>
      </w:r>
      <w:r w:rsidR="008177F5"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ться застосовувати </w:t>
      </w:r>
      <w:proofErr w:type="spellStart"/>
      <w:r w:rsidR="008177F5"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="008177F5"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вигляді розчину для ін’єкцій. </w:t>
      </w:r>
    </w:p>
    <w:p w14:paraId="574AE3D5" w14:textId="0C8E2698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Пацієнти літнього віку</w:t>
      </w:r>
      <w:r w:rsidR="008177F5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6F134355" w14:textId="6AF3537C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Існує обмежений досвід застосування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для профілактики </w:t>
      </w:r>
      <w:r w:rsidR="008177F5"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та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лікування післяопераційної нудоти і блювання у пацієнтів літнього віку, однак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добре переносився пацієнтами віком від 65 років, які отримували хіміотерапію.</w:t>
      </w:r>
    </w:p>
    <w:p w14:paraId="510B15BB" w14:textId="2B8008EF" w:rsidR="00554427" w:rsidRPr="00DF06A2" w:rsidRDefault="008177F5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Пацієнти </w:t>
      </w:r>
      <w:r w:rsidR="00554427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 порушеннями функції нирок</w:t>
      </w: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554427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314D7888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Немає необхідності у корекції добової дози, частоти застосування або шляху введення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14:paraId="0415CBD5" w14:textId="168E775C" w:rsidR="00554427" w:rsidRPr="00DF06A2" w:rsidRDefault="008177F5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Пацієнти </w:t>
      </w:r>
      <w:r w:rsidR="00554427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 порушенням</w:t>
      </w:r>
      <w:r w:rsidR="009D5FE5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и</w:t>
      </w:r>
      <w:r w:rsidR="00554427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функції печінки</w:t>
      </w: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  <w:r w:rsidR="00554427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5339565C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пацієнтів із порушеннями функції печінки помірного та тяжкого ступеня кліренс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суттєво знижений, а період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напіввиведення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збільшений. У таких пацієнтів добова доза препарату не повинна перевищувати 8 мг (10 мл). </w:t>
      </w:r>
    </w:p>
    <w:p w14:paraId="59B2F929" w14:textId="45FA1D83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Пацієнти з повільним метаболізмом </w:t>
      </w:r>
      <w:proofErr w:type="spellStart"/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спартеїну</w:t>
      </w:r>
      <w:proofErr w:type="spellEnd"/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/</w:t>
      </w:r>
      <w:proofErr w:type="spellStart"/>
      <w:r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дебризохіну</w:t>
      </w:r>
      <w:proofErr w:type="spellEnd"/>
      <w:r w:rsidR="008177F5" w:rsidRPr="00DF06A2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420D8FC2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Період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напіввиведення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пацієнтів із порушенням метаболізму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спартеїну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дебрисоквіну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змінюється. У таких пацієнтів після повторного введення концентрація препарату така ж, як і у хворих з неушкодженим метаболізмом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Корекція добової дози або частоти застосування </w:t>
      </w:r>
      <w:proofErr w:type="spellStart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ондансетрону</w:t>
      </w:r>
      <w:proofErr w:type="spellEnd"/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потрібна.</w:t>
      </w:r>
    </w:p>
    <w:p w14:paraId="315375D7" w14:textId="77777777" w:rsidR="009054A6" w:rsidRPr="00DF06A2" w:rsidRDefault="009054A6" w:rsidP="00CC0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3A325FB" w14:textId="274AF25F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06A2">
        <w:rPr>
          <w:rFonts w:ascii="Times New Roman" w:hAnsi="Times New Roman" w:cs="Times New Roman"/>
          <w:i/>
          <w:sz w:val="24"/>
          <w:szCs w:val="24"/>
          <w:lang w:val="uk-UA"/>
        </w:rPr>
        <w:t>Діти</w:t>
      </w:r>
      <w:r w:rsidR="008177F5" w:rsidRPr="00DF06A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34F4E9E6" w14:textId="35C88D98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Розчин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ондансетр</w:t>
      </w:r>
      <w:r w:rsidR="008177F5"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ону</w:t>
      </w:r>
      <w:proofErr w:type="spellEnd"/>
      <w:r w:rsidR="008177F5"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орального застосування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призначений для застосування </w:t>
      </w:r>
      <w:r w:rsidRPr="00DF06A2">
        <w:rPr>
          <w:rFonts w:ascii="Times New Roman" w:eastAsia="Calibri" w:hAnsi="Times New Roman" w:cs="Times New Roman"/>
          <w:sz w:val="24"/>
          <w:szCs w:val="24"/>
          <w:lang w:val="uk-UA"/>
        </w:rPr>
        <w:t>дітям віком від 6 місяців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лікування нудоти та блювання, спричинених хіміотерапією.</w:t>
      </w:r>
    </w:p>
    <w:p w14:paraId="32BDDC9F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профілактики чи лікування післяопераційних нудоти і блювання у дітей віком від 1 місяця рекомендовано застосовувати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вигляді розчину для ін’єкцій.</w:t>
      </w:r>
    </w:p>
    <w:p w14:paraId="69675EEA" w14:textId="77777777" w:rsidR="00ED5E12" w:rsidRPr="00DF06A2" w:rsidRDefault="00ED5E12" w:rsidP="00CC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DB1253A" w14:textId="77777777" w:rsidR="00DB0C1C" w:rsidRPr="00DF06A2" w:rsidRDefault="00DB0C1C" w:rsidP="00CC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Передозування. </w:t>
      </w:r>
    </w:p>
    <w:p w14:paraId="0EA85112" w14:textId="69ECC0E1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Симптоми</w:t>
      </w:r>
      <w:r w:rsidR="008177F5" w:rsidRPr="00DF06A2">
        <w:rPr>
          <w:rFonts w:ascii="Times New Roman" w:hAnsi="Times New Roman" w:cs="Times New Roman"/>
          <w:i/>
          <w:sz w:val="24"/>
          <w:szCs w:val="24"/>
          <w:lang w:val="uk-UA" w:eastAsia="ru-RU"/>
        </w:rPr>
        <w:t>.</w:t>
      </w:r>
    </w:p>
    <w:p w14:paraId="6A3AE60B" w14:textId="5F82C798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Даних про передозування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ондансетроном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недостатньо. У більшості випадків передозування симптоми були схожі на побічні реакції, що виникали у пацієнтів при </w:t>
      </w:r>
      <w:r w:rsidR="008177F5"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застосуванні рекомендованих доз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(див. розділ </w:t>
      </w:r>
      <w:r w:rsidRPr="00DF06A2">
        <w:rPr>
          <w:rFonts w:ascii="Times New Roman" w:hAnsi="Times New Roman" w:cs="Times New Roman"/>
          <w:sz w:val="24"/>
          <w:szCs w:val="24"/>
          <w:lang w:val="uk-UA"/>
        </w:rPr>
        <w:t>«Побічні реакції»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). Порушення зору, запор тяжкого ступеня, артеріальна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гіпотензія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вазовагальні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прояви з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т</w:t>
      </w:r>
      <w:r w:rsidR="00FB1BBE">
        <w:rPr>
          <w:rFonts w:ascii="Times New Roman" w:hAnsi="Times New Roman" w:cs="Times New Roman"/>
          <w:sz w:val="24"/>
          <w:szCs w:val="24"/>
          <w:lang w:val="uk-UA" w:eastAsia="ru-RU"/>
        </w:rPr>
        <w:t>ранзиторною</w:t>
      </w:r>
      <w:proofErr w:type="spellEnd"/>
      <w:r w:rsidR="00FB1BB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FB1BBE">
        <w:rPr>
          <w:rFonts w:ascii="Times New Roman" w:hAnsi="Times New Roman" w:cs="Times New Roman"/>
          <w:sz w:val="24"/>
          <w:szCs w:val="24"/>
          <w:lang w:val="uk-UA" w:eastAsia="ru-RU"/>
        </w:rPr>
        <w:t>атріовентрикулярною</w:t>
      </w:r>
      <w:proofErr w:type="spellEnd"/>
      <w:r w:rsidR="00FB1BB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блокадою ІІ ступеня були зафіксовані при передозуванні. У дітей віком від 12 </w:t>
      </w:r>
      <w:r w:rsidRPr="00901B0E">
        <w:rPr>
          <w:rFonts w:ascii="Times New Roman" w:hAnsi="Times New Roman" w:cs="Times New Roman"/>
          <w:sz w:val="24"/>
          <w:szCs w:val="24"/>
          <w:lang w:val="uk-UA" w:eastAsia="ru-RU"/>
        </w:rPr>
        <w:t>міс</w:t>
      </w:r>
      <w:r w:rsidR="00FB1BBE" w:rsidRPr="00901B0E">
        <w:rPr>
          <w:rFonts w:ascii="Times New Roman" w:hAnsi="Times New Roman" w:cs="Times New Roman"/>
          <w:sz w:val="24"/>
          <w:szCs w:val="24"/>
          <w:lang w:val="uk-UA" w:eastAsia="ru-RU"/>
        </w:rPr>
        <w:t>яців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2 років повідомлялося про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серотоніновий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синдром, що виникав при  передозуванні. </w:t>
      </w:r>
    </w:p>
    <w:p w14:paraId="70983146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дозозалежно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подовжує інтервал QT, тому у випадку передозування рекомендується моніторинг ЕКГ.</w:t>
      </w:r>
    </w:p>
    <w:p w14:paraId="19A73F3F" w14:textId="52DFBFC8" w:rsidR="00554427" w:rsidRPr="00DF06A2" w:rsidRDefault="00554427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DF06A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Лікування</w:t>
      </w:r>
      <w:r w:rsidR="008177F5" w:rsidRPr="00DF06A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</w:p>
    <w:p w14:paraId="40320E42" w14:textId="77777777" w:rsidR="00554427" w:rsidRPr="00DF06A2" w:rsidRDefault="00554427" w:rsidP="00CC0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Специфічного антидоту для </w:t>
      </w:r>
      <w:proofErr w:type="spellStart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немає, тому у разі передозування необхідно застосовувати симптоматичну та підтримуючу терапію. </w:t>
      </w:r>
    </w:p>
    <w:p w14:paraId="5B59C08F" w14:textId="77777777" w:rsidR="00554427" w:rsidRPr="00DF06A2" w:rsidRDefault="00554427" w:rsidP="00CC0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Застосування іпекакуани не рекомендується, оскільки клінічна відповідь на її введення може гальмуватися внаслідок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антиеметичної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дії </w:t>
      </w:r>
      <w:proofErr w:type="spellStart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>ондансетрону</w:t>
      </w:r>
      <w:proofErr w:type="spellEnd"/>
      <w:r w:rsidRPr="00DF06A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 </w:t>
      </w:r>
    </w:p>
    <w:p w14:paraId="195E6A1A" w14:textId="77777777" w:rsidR="00ED5E12" w:rsidRPr="00DF06A2" w:rsidRDefault="00ED5E12" w:rsidP="00CC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6D94F8AD" w14:textId="77777777" w:rsidR="00554427" w:rsidRPr="00DF06A2" w:rsidRDefault="00554427" w:rsidP="00CC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Побічні реакції. </w:t>
      </w:r>
    </w:p>
    <w:p w14:paraId="790EC688" w14:textId="76B5A1C5" w:rsidR="008B09E6" w:rsidRDefault="008B09E6" w:rsidP="004C34E2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Побічні реакції, інформацію про які наведено  нижче, класифіковані за органа</w:t>
      </w:r>
      <w:r w:rsidR="00612D54">
        <w:rPr>
          <w:rFonts w:ascii="Times New Roman" w:hAnsi="Times New Roman"/>
          <w:sz w:val="24"/>
          <w:szCs w:val="24"/>
          <w:lang w:val="uk-UA" w:eastAsia="ru-RU"/>
        </w:rPr>
        <w:t xml:space="preserve">ми і системами та за частотою </w:t>
      </w:r>
      <w:r w:rsidR="00612D54" w:rsidRPr="00901B0E">
        <w:rPr>
          <w:rFonts w:ascii="Times New Roman" w:hAnsi="Times New Roman"/>
          <w:sz w:val="24"/>
          <w:szCs w:val="24"/>
          <w:lang w:val="uk-UA" w:eastAsia="ru-RU"/>
        </w:rPr>
        <w:t>їх</w:t>
      </w:r>
      <w:r w:rsidRPr="00612D54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виникнення. За частотою виникнення </w:t>
      </w:r>
      <w:r w:rsidR="00612D54" w:rsidRPr="00901B0E">
        <w:rPr>
          <w:rFonts w:ascii="Times New Roman" w:hAnsi="Times New Roman"/>
          <w:sz w:val="24"/>
          <w:szCs w:val="24"/>
          <w:lang w:val="uk-UA" w:eastAsia="ru-RU"/>
        </w:rPr>
        <w:t xml:space="preserve">побічні реакції </w:t>
      </w:r>
      <w:r w:rsidR="00612D54">
        <w:rPr>
          <w:rFonts w:ascii="Times New Roman" w:hAnsi="Times New Roman"/>
          <w:sz w:val="24"/>
          <w:szCs w:val="24"/>
          <w:lang w:val="uk-UA" w:eastAsia="ru-RU"/>
        </w:rPr>
        <w:t>розподілен</w:t>
      </w:r>
      <w:r w:rsidR="00612D54" w:rsidRPr="00901B0E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на такі категорії: дуже часто (≥1/10), часто (≥1/100 та &lt;1/10), нечасто (≥1/1000 та &lt;1/100),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рідко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(≥1/10000 та &lt;1/1000), дуже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рідко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(&lt;1/10000).</w:t>
      </w:r>
    </w:p>
    <w:p w14:paraId="251B90D6" w14:textId="77777777" w:rsidR="00D06872" w:rsidRPr="00283449" w:rsidRDefault="00554427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 боку імунної системи: </w:t>
      </w:r>
    </w:p>
    <w:p w14:paraId="0714F937" w14:textId="598CCA7B" w:rsidR="00554427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рідко</w:t>
      </w:r>
      <w:proofErr w:type="spellEnd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: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реакції підвищеної чутливості негайного типу, у </w:t>
      </w:r>
      <w:r w:rsidR="00612D54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низці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випадків </w:t>
      </w:r>
      <w:r w:rsidR="00612D54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тяжкого ступеня, включаючи анафілаксію.</w:t>
      </w:r>
    </w:p>
    <w:p w14:paraId="42C24867" w14:textId="77777777" w:rsidR="00D06872" w:rsidRPr="00283449" w:rsidRDefault="00554427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 боку нервової системи: </w:t>
      </w:r>
    </w:p>
    <w:p w14:paraId="2DE6E337" w14:textId="77777777" w:rsidR="00D06872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дуже часто: </w:t>
      </w:r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головний біль; </w:t>
      </w:r>
    </w:p>
    <w:p w14:paraId="4C9200A3" w14:textId="77777777" w:rsidR="00D06872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нечасто: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судоми, рухові розлади (включаючи </w:t>
      </w:r>
      <w:proofErr w:type="spellStart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екстрапірамідні</w:t>
      </w:r>
      <w:proofErr w:type="spellEnd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реакції, такі як дистонія, </w:t>
      </w:r>
      <w:proofErr w:type="spellStart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окулогірний</w:t>
      </w:r>
      <w:proofErr w:type="spellEnd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криз і </w:t>
      </w:r>
      <w:proofErr w:type="spellStart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дискінезія</w:t>
      </w:r>
      <w:proofErr w:type="spellEnd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="00554427" w:rsidRPr="00283449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1</w:t>
      </w:r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4AA969E7" w14:textId="6AB48420" w:rsidR="00554427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рідко</w:t>
      </w:r>
      <w:proofErr w:type="spellEnd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:</w:t>
      </w:r>
      <w:r w:rsidR="00554427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запаморочення.</w:t>
      </w:r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A9065A0" w14:textId="745136E9" w:rsidR="00D06872" w:rsidRPr="00283449" w:rsidRDefault="00554427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 боку органів зору:</w:t>
      </w:r>
      <w:r w:rsidR="00D06872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</w:p>
    <w:p w14:paraId="3BCF8D9C" w14:textId="77777777" w:rsidR="00D06872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рідко</w:t>
      </w:r>
      <w:proofErr w:type="spellEnd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:</w:t>
      </w:r>
      <w:r w:rsidR="00554427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транзиторні</w:t>
      </w:r>
      <w:proofErr w:type="spellEnd"/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розлади зору (помутніння в очах); </w:t>
      </w:r>
    </w:p>
    <w:p w14:paraId="6050A23A" w14:textId="2A3DA6A7" w:rsidR="00554427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дуже </w:t>
      </w:r>
      <w:proofErr w:type="spellStart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рідко</w:t>
      </w:r>
      <w:proofErr w:type="spellEnd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транзиторна</w:t>
      </w:r>
      <w:proofErr w:type="spellEnd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сліпота</w:t>
      </w:r>
      <w:r w:rsidR="00554427" w:rsidRPr="00283449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2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1ED2569D" w14:textId="721B0C39" w:rsidR="00D06872" w:rsidRPr="00283449" w:rsidRDefault="00554427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З боку </w:t>
      </w:r>
      <w:r w:rsidR="00D06872" w:rsidRPr="00283449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серця</w:t>
      </w: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: </w:t>
      </w:r>
    </w:p>
    <w:p w14:paraId="299AF9A3" w14:textId="5199E2D8" w:rsidR="00D06872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нечасто:</w:t>
      </w:r>
      <w:r w:rsidR="00612D54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аритмія, біль у грудях (із депресією сегмента ST або без неї), брадикардія</w:t>
      </w:r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;</w:t>
      </w:r>
    </w:p>
    <w:p w14:paraId="35F4412B" w14:textId="43CF5F01" w:rsidR="00D06872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proofErr w:type="spellStart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рідко</w:t>
      </w:r>
      <w:proofErr w:type="spellEnd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: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подовження інтервалу QT, включаючи аритмію типу </w:t>
      </w:r>
      <w:proofErr w:type="spellStart"/>
      <w:r w:rsidR="00554427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Torsade</w:t>
      </w:r>
      <w:proofErr w:type="spellEnd"/>
      <w:r w:rsidR="00554427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54427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de</w:t>
      </w:r>
      <w:proofErr w:type="spellEnd"/>
      <w:r w:rsidR="00554427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554427"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Pointes</w:t>
      </w:r>
      <w:proofErr w:type="spellEnd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.</w:t>
      </w:r>
    </w:p>
    <w:p w14:paraId="7AE1ECBF" w14:textId="77777777" w:rsidR="00D06872" w:rsidRPr="00283449" w:rsidRDefault="00D06872" w:rsidP="00D06872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 боку судин:</w:t>
      </w:r>
    </w:p>
    <w:p w14:paraId="041FEF0C" w14:textId="77777777" w:rsidR="00D06872" w:rsidRPr="00283449" w:rsidRDefault="00D06872" w:rsidP="00D06872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часто:</w:t>
      </w:r>
      <w:r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відчуття жару або припливів;</w:t>
      </w:r>
    </w:p>
    <w:p w14:paraId="106C66B6" w14:textId="365DDE19" w:rsidR="00554427" w:rsidRPr="00283449" w:rsidRDefault="00D06872" w:rsidP="00D06872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нечасто: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артеріальна </w:t>
      </w:r>
      <w:proofErr w:type="spellStart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гіпотензія</w:t>
      </w:r>
      <w:proofErr w:type="spellEnd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A1E3900" w14:textId="77777777" w:rsidR="00D06872" w:rsidRPr="00283449" w:rsidRDefault="00554427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 боку дихальної системи: </w:t>
      </w:r>
    </w:p>
    <w:p w14:paraId="29AD0D37" w14:textId="51E41631" w:rsidR="00554427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нечасто: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гикавка.</w:t>
      </w:r>
    </w:p>
    <w:p w14:paraId="411BA117" w14:textId="77777777" w:rsidR="00D06872" w:rsidRPr="00283449" w:rsidRDefault="00554427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 боку травного тракту: </w:t>
      </w:r>
    </w:p>
    <w:p w14:paraId="6EE0BA30" w14:textId="21CEB274" w:rsidR="00554427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часто:</w:t>
      </w:r>
      <w:r w:rsidR="005C61F8" w:rsidRPr="0028344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запор.</w:t>
      </w:r>
    </w:p>
    <w:p w14:paraId="3051B745" w14:textId="77777777" w:rsidR="00D06872" w:rsidRPr="00283449" w:rsidRDefault="00554427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 боку </w:t>
      </w:r>
      <w:proofErr w:type="spellStart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гепатобіліарної</w:t>
      </w:r>
      <w:proofErr w:type="spellEnd"/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системи: </w:t>
      </w:r>
    </w:p>
    <w:p w14:paraId="3E53C105" w14:textId="00FBA8E5" w:rsidR="00554427" w:rsidRPr="00283449" w:rsidRDefault="00D06872" w:rsidP="00CC02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3449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нечасто: </w:t>
      </w:r>
      <w:proofErr w:type="spellStart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безсимптомне</w:t>
      </w:r>
      <w:proofErr w:type="spellEnd"/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підвищення показників функції печінки</w:t>
      </w:r>
      <w:r w:rsidR="00554427" w:rsidRPr="00283449">
        <w:rPr>
          <w:rFonts w:ascii="Times New Roman" w:eastAsia="Calibri" w:hAnsi="Times New Roman" w:cs="Times New Roman"/>
          <w:sz w:val="24"/>
          <w:szCs w:val="24"/>
          <w:vertAlign w:val="superscript"/>
          <w:lang w:val="uk-UA"/>
        </w:rPr>
        <w:t>3</w:t>
      </w:r>
      <w:r w:rsidR="00554427" w:rsidRPr="0028344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2E20A0C7" w14:textId="77777777" w:rsidR="00554427" w:rsidRPr="00283449" w:rsidRDefault="00554427" w:rsidP="00CC0230">
      <w:pPr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>У спостереженнях відсутні остаточні дані щодо стійких клінічних наслідків.</w:t>
      </w:r>
    </w:p>
    <w:p w14:paraId="34C4C278" w14:textId="482E8D33" w:rsidR="00554427" w:rsidRPr="00283449" w:rsidRDefault="008177F5" w:rsidP="00CC0230">
      <w:pPr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>У більшості</w:t>
      </w:r>
      <w:r w:rsidR="00554427"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випадків </w:t>
      </w:r>
      <w:proofErr w:type="spellStart"/>
      <w:r w:rsidR="00554427"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>транзиторна</w:t>
      </w:r>
      <w:proofErr w:type="spellEnd"/>
      <w:r w:rsidR="00554427"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сліпота минала за 20 хвилин. Більшість пацієнтів отримували хіміотерапевтичні засоби, які містять </w:t>
      </w:r>
      <w:proofErr w:type="spellStart"/>
      <w:r w:rsidR="00554427"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>цисплатин</w:t>
      </w:r>
      <w:proofErr w:type="spellEnd"/>
      <w:r w:rsidR="00554427"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>. Були зареєстровані деякі випадки скороминущої сліпоти кортикального походження.</w:t>
      </w:r>
    </w:p>
    <w:p w14:paraId="7B6536B4" w14:textId="77777777" w:rsidR="00554427" w:rsidRPr="00283449" w:rsidRDefault="00554427" w:rsidP="00CC0230">
      <w:pPr>
        <w:widowControl w:val="0"/>
        <w:numPr>
          <w:ilvl w:val="0"/>
          <w:numId w:val="3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Ці випадки спостерігалися головним чином у хворих, які отримували </w:t>
      </w:r>
      <w:proofErr w:type="spellStart"/>
      <w:r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>цисплатин</w:t>
      </w:r>
      <w:proofErr w:type="spellEnd"/>
      <w:r w:rsidRPr="00283449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</w:p>
    <w:p w14:paraId="3DCB5ED6" w14:textId="77777777" w:rsidR="00CA0AA4" w:rsidRPr="00283449" w:rsidRDefault="00CA0AA4" w:rsidP="00CA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83449">
        <w:rPr>
          <w:rFonts w:ascii="Times New Roman" w:hAnsi="Times New Roman" w:cs="Times New Roman"/>
          <w:sz w:val="24"/>
          <w:szCs w:val="24"/>
          <w:u w:val="single"/>
          <w:lang w:val="uk-UA"/>
        </w:rPr>
        <w:t>Звітування про підозрювані побічні реакції</w:t>
      </w:r>
    </w:p>
    <w:p w14:paraId="3E021A33" w14:textId="77777777" w:rsidR="00CA0AA4" w:rsidRPr="00CA0AA4" w:rsidRDefault="00CA0AA4" w:rsidP="00CA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3449">
        <w:rPr>
          <w:rFonts w:ascii="Times New Roman" w:hAnsi="Times New Roman" w:cs="Times New Roman"/>
          <w:sz w:val="24"/>
          <w:szCs w:val="24"/>
          <w:lang w:val="uk-UA"/>
        </w:rPr>
        <w:t>Звітування про підозрювані побічні реакції після реєстрації лікарського засобу має важливе значення. Це дає змогу здійснювати безперервний моніторинг співвідношення ризик/користь застосування лікарського засобу. Кваліфікованих працівників у сфері охорони здоров’я просять звітувати про будь-які підозрювані небажані реакції відповідно до локальної системи звітності.</w:t>
      </w:r>
    </w:p>
    <w:p w14:paraId="11B552A3" w14:textId="77777777" w:rsidR="00B074E5" w:rsidRPr="00DF06A2" w:rsidRDefault="00B074E5" w:rsidP="00CC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330EB2B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 xml:space="preserve">Термін придатності. </w:t>
      </w:r>
    </w:p>
    <w:p w14:paraId="16BAB34F" w14:textId="77777777" w:rsidR="00DB0C1C" w:rsidRPr="00DF06A2" w:rsidRDefault="0065657D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DB0C1C"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роки.</w:t>
      </w:r>
    </w:p>
    <w:p w14:paraId="137D8A49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22EC8EB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Умови зберігання. </w:t>
      </w:r>
    </w:p>
    <w:p w14:paraId="79900135" w14:textId="77777777" w:rsidR="002852C8" w:rsidRPr="002852C8" w:rsidRDefault="002852C8" w:rsidP="0028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2C8">
        <w:rPr>
          <w:rFonts w:ascii="Times New Roman" w:hAnsi="Times New Roman" w:cs="Times New Roman"/>
          <w:sz w:val="24"/>
          <w:szCs w:val="24"/>
          <w:lang w:val="uk-UA"/>
        </w:rPr>
        <w:t>Зберігати при температурі не вище 25 °С</w:t>
      </w:r>
      <w:r w:rsidRPr="002852C8">
        <w:rPr>
          <w:rFonts w:ascii="Times New Roman" w:hAnsi="Times New Roman" w:cs="Times New Roman"/>
          <w:sz w:val="24"/>
          <w:szCs w:val="24"/>
        </w:rPr>
        <w:t>.</w:t>
      </w:r>
      <w:r w:rsidRPr="002852C8">
        <w:rPr>
          <w:rFonts w:ascii="Times New Roman" w:hAnsi="Times New Roman" w:cs="Times New Roman"/>
          <w:sz w:val="24"/>
          <w:szCs w:val="24"/>
          <w:lang w:val="uk-UA"/>
        </w:rPr>
        <w:t xml:space="preserve"> Не заморожувати.</w:t>
      </w:r>
    </w:p>
    <w:p w14:paraId="248B368E" w14:textId="77777777" w:rsidR="002852C8" w:rsidRPr="002852C8" w:rsidRDefault="002852C8" w:rsidP="0028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2C8">
        <w:rPr>
          <w:rFonts w:ascii="Times New Roman" w:hAnsi="Times New Roman" w:cs="Times New Roman"/>
          <w:sz w:val="24"/>
          <w:szCs w:val="24"/>
          <w:lang w:val="uk-UA"/>
        </w:rPr>
        <w:t>Зберігати у недоступному для дітей місці.</w:t>
      </w:r>
    </w:p>
    <w:p w14:paraId="0BB8B96F" w14:textId="77777777" w:rsidR="002852C8" w:rsidRPr="002852C8" w:rsidRDefault="002852C8" w:rsidP="0028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2C8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28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2C8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285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2C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2852C8">
        <w:rPr>
          <w:rFonts w:ascii="Times New Roman" w:hAnsi="Times New Roman" w:cs="Times New Roman"/>
          <w:sz w:val="24"/>
          <w:szCs w:val="24"/>
        </w:rPr>
        <w:t xml:space="preserve"> флакона препарат </w:t>
      </w:r>
      <w:proofErr w:type="spellStart"/>
      <w:r w:rsidRPr="002852C8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2852C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852C8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2852C8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2852C8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852C8">
        <w:rPr>
          <w:rFonts w:ascii="Times New Roman" w:hAnsi="Times New Roman" w:cs="Times New Roman"/>
          <w:sz w:val="24"/>
          <w:szCs w:val="24"/>
        </w:rPr>
        <w:t>.</w:t>
      </w:r>
    </w:p>
    <w:p w14:paraId="2193897E" w14:textId="77777777" w:rsidR="00DB0C1C" w:rsidRPr="002852C8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0E5C46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Упаковка. </w:t>
      </w:r>
    </w:p>
    <w:p w14:paraId="25F6B76F" w14:textId="77777777" w:rsidR="001542D9" w:rsidRPr="00DF06A2" w:rsidRDefault="001542D9" w:rsidP="00CC02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DF06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 </w:t>
      </w:r>
      <w:r w:rsidR="00D3446E" w:rsidRPr="00DF06A2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DF06A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мл у флаконі. </w:t>
      </w:r>
      <w:r w:rsidR="002B131D" w:rsidRPr="00DF06A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1 флакону разом із дозуючим пристроєм у картонній упаковці</w:t>
      </w:r>
      <w:r w:rsidRPr="00DF06A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B2FC600" w14:textId="77777777" w:rsidR="0099780F" w:rsidRDefault="0099780F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04E7D42D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Категорія відпуску. </w:t>
      </w:r>
    </w:p>
    <w:p w14:paraId="4CC37453" w14:textId="77777777" w:rsidR="00DB0C1C" w:rsidRPr="00DF06A2" w:rsidRDefault="0065657D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За</w:t>
      </w:r>
      <w:r w:rsidR="00DB0C1C"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рецепт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ом</w:t>
      </w:r>
      <w:r w:rsidR="00DB0C1C"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015273EA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533590BA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Виробник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48FE1CAB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ТОВ «КУСУМ ФАРМ».</w:t>
      </w:r>
    </w:p>
    <w:p w14:paraId="579E9D0B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FB8F6D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Місцезнаходження виробника та адреса місця провадження </w:t>
      </w:r>
      <w:r w:rsidR="00B54BF9"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його </w:t>
      </w:r>
      <w:r w:rsidRPr="00DF06A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діяльності.</w:t>
      </w: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FBA4009" w14:textId="77777777" w:rsidR="00DB0C1C" w:rsidRPr="00DF06A2" w:rsidRDefault="00DB0C1C" w:rsidP="00CC0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6A2">
        <w:rPr>
          <w:rFonts w:ascii="Times New Roman" w:eastAsia="Times New Roman" w:hAnsi="Times New Roman" w:cs="Times New Roman"/>
          <w:sz w:val="24"/>
          <w:szCs w:val="24"/>
          <w:lang w:val="uk-UA"/>
        </w:rPr>
        <w:t>40020, Україна, Сумська область, м. Суми, вул. Скрябіна, 54.</w:t>
      </w:r>
    </w:p>
    <w:p w14:paraId="4737616D" w14:textId="77777777" w:rsidR="00CC6C66" w:rsidRPr="00DF06A2" w:rsidRDefault="00CC6C66" w:rsidP="00CC023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2A1695E" w14:textId="77777777" w:rsidR="00E46252" w:rsidRPr="00C70D56" w:rsidRDefault="00E46252" w:rsidP="00CC02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F06A2">
        <w:rPr>
          <w:rFonts w:ascii="Times New Roman" w:hAnsi="Times New Roman" w:cs="Times New Roman"/>
          <w:b/>
          <w:bCs/>
          <w:sz w:val="24"/>
          <w:szCs w:val="24"/>
          <w:lang w:val="uk-UA"/>
        </w:rPr>
        <w:t>Дата останнього перегляду.</w:t>
      </w:r>
      <w:r w:rsidRPr="00C70D5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sectPr w:rsidR="00E46252" w:rsidRPr="00C70D56" w:rsidSect="00D9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2A8"/>
    <w:multiLevelType w:val="hybridMultilevel"/>
    <w:tmpl w:val="622A7806"/>
    <w:lvl w:ilvl="0" w:tplc="C0727E5E">
      <w:start w:val="1"/>
      <w:numFmt w:val="decimal"/>
      <w:suff w:val="nothing"/>
      <w:lvlText w:val="%1"/>
      <w:lvlJc w:val="left"/>
      <w:pPr>
        <w:ind w:left="113" w:hanging="113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788E"/>
    <w:multiLevelType w:val="hybridMultilevel"/>
    <w:tmpl w:val="7A208BE8"/>
    <w:lvl w:ilvl="0" w:tplc="AB8460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4144A"/>
    <w:multiLevelType w:val="hybridMultilevel"/>
    <w:tmpl w:val="5CAC86B4"/>
    <w:lvl w:ilvl="0" w:tplc="7CFE86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1C"/>
    <w:rsid w:val="000062D7"/>
    <w:rsid w:val="00006491"/>
    <w:rsid w:val="00012AA2"/>
    <w:rsid w:val="00012DE6"/>
    <w:rsid w:val="000169C3"/>
    <w:rsid w:val="00020EDD"/>
    <w:rsid w:val="000265D3"/>
    <w:rsid w:val="00026686"/>
    <w:rsid w:val="00037F80"/>
    <w:rsid w:val="0004312E"/>
    <w:rsid w:val="000453F0"/>
    <w:rsid w:val="0005330E"/>
    <w:rsid w:val="00054FA3"/>
    <w:rsid w:val="00060390"/>
    <w:rsid w:val="00061FBD"/>
    <w:rsid w:val="00065008"/>
    <w:rsid w:val="000729A3"/>
    <w:rsid w:val="00072F6C"/>
    <w:rsid w:val="00094598"/>
    <w:rsid w:val="00097E8E"/>
    <w:rsid w:val="000A09DA"/>
    <w:rsid w:val="000B1A0B"/>
    <w:rsid w:val="000B27A8"/>
    <w:rsid w:val="000B4C16"/>
    <w:rsid w:val="000B7E74"/>
    <w:rsid w:val="000C55B8"/>
    <w:rsid w:val="000C5DC1"/>
    <w:rsid w:val="000D0C2A"/>
    <w:rsid w:val="000D33BA"/>
    <w:rsid w:val="000D3415"/>
    <w:rsid w:val="000E6674"/>
    <w:rsid w:val="000E674D"/>
    <w:rsid w:val="000F0C32"/>
    <w:rsid w:val="000F1725"/>
    <w:rsid w:val="000F40B3"/>
    <w:rsid w:val="000F46D7"/>
    <w:rsid w:val="000F7DF8"/>
    <w:rsid w:val="00100EC4"/>
    <w:rsid w:val="001018FB"/>
    <w:rsid w:val="00116F25"/>
    <w:rsid w:val="001172BC"/>
    <w:rsid w:val="00120604"/>
    <w:rsid w:val="0012214B"/>
    <w:rsid w:val="001278E4"/>
    <w:rsid w:val="001279FA"/>
    <w:rsid w:val="00127A9E"/>
    <w:rsid w:val="00133482"/>
    <w:rsid w:val="00133804"/>
    <w:rsid w:val="001542D9"/>
    <w:rsid w:val="00155C92"/>
    <w:rsid w:val="001624F9"/>
    <w:rsid w:val="00163B23"/>
    <w:rsid w:val="001641F7"/>
    <w:rsid w:val="00164508"/>
    <w:rsid w:val="00164AD3"/>
    <w:rsid w:val="001724C6"/>
    <w:rsid w:val="00172940"/>
    <w:rsid w:val="00174AC5"/>
    <w:rsid w:val="00175D99"/>
    <w:rsid w:val="0018065F"/>
    <w:rsid w:val="001927AC"/>
    <w:rsid w:val="001A0CD6"/>
    <w:rsid w:val="001A0E39"/>
    <w:rsid w:val="001A2665"/>
    <w:rsid w:val="001B2F3E"/>
    <w:rsid w:val="001B6023"/>
    <w:rsid w:val="001C01D3"/>
    <w:rsid w:val="001C634A"/>
    <w:rsid w:val="001D1B6C"/>
    <w:rsid w:val="001D44FC"/>
    <w:rsid w:val="001D5370"/>
    <w:rsid w:val="001E1042"/>
    <w:rsid w:val="001E1A2C"/>
    <w:rsid w:val="001F42AB"/>
    <w:rsid w:val="001F7CB0"/>
    <w:rsid w:val="0020058B"/>
    <w:rsid w:val="002115D7"/>
    <w:rsid w:val="00211984"/>
    <w:rsid w:val="00212E7C"/>
    <w:rsid w:val="002162D7"/>
    <w:rsid w:val="00217FD4"/>
    <w:rsid w:val="0022149B"/>
    <w:rsid w:val="002374B9"/>
    <w:rsid w:val="002410EE"/>
    <w:rsid w:val="00247604"/>
    <w:rsid w:val="00251A4D"/>
    <w:rsid w:val="002536E8"/>
    <w:rsid w:val="00254397"/>
    <w:rsid w:val="0025440A"/>
    <w:rsid w:val="00255341"/>
    <w:rsid w:val="00263190"/>
    <w:rsid w:val="00263485"/>
    <w:rsid w:val="00272547"/>
    <w:rsid w:val="00277C7D"/>
    <w:rsid w:val="0028004D"/>
    <w:rsid w:val="00282B15"/>
    <w:rsid w:val="00282FC8"/>
    <w:rsid w:val="00283449"/>
    <w:rsid w:val="00284CB8"/>
    <w:rsid w:val="002852C8"/>
    <w:rsid w:val="00287E0E"/>
    <w:rsid w:val="0029131F"/>
    <w:rsid w:val="002A7735"/>
    <w:rsid w:val="002B131D"/>
    <w:rsid w:val="002B1CEE"/>
    <w:rsid w:val="002B242A"/>
    <w:rsid w:val="002B6278"/>
    <w:rsid w:val="002C48A7"/>
    <w:rsid w:val="002D023C"/>
    <w:rsid w:val="002D1F57"/>
    <w:rsid w:val="002D4FC1"/>
    <w:rsid w:val="002D6598"/>
    <w:rsid w:val="002D7EB9"/>
    <w:rsid w:val="002E1C65"/>
    <w:rsid w:val="002E39A8"/>
    <w:rsid w:val="00307B3F"/>
    <w:rsid w:val="00317BEE"/>
    <w:rsid w:val="00322A06"/>
    <w:rsid w:val="003230E1"/>
    <w:rsid w:val="00325E4F"/>
    <w:rsid w:val="003305C2"/>
    <w:rsid w:val="00333B34"/>
    <w:rsid w:val="00337B25"/>
    <w:rsid w:val="00337CD5"/>
    <w:rsid w:val="0034447B"/>
    <w:rsid w:val="0034589F"/>
    <w:rsid w:val="00345CD1"/>
    <w:rsid w:val="003515CB"/>
    <w:rsid w:val="003561F6"/>
    <w:rsid w:val="00365C44"/>
    <w:rsid w:val="0038041B"/>
    <w:rsid w:val="003945AC"/>
    <w:rsid w:val="003A051E"/>
    <w:rsid w:val="003C110C"/>
    <w:rsid w:val="003C11AC"/>
    <w:rsid w:val="003C154B"/>
    <w:rsid w:val="003C1D10"/>
    <w:rsid w:val="003C4E99"/>
    <w:rsid w:val="003C7F3F"/>
    <w:rsid w:val="003D0751"/>
    <w:rsid w:val="003D3862"/>
    <w:rsid w:val="003D471D"/>
    <w:rsid w:val="003D6467"/>
    <w:rsid w:val="003D75B1"/>
    <w:rsid w:val="003E7515"/>
    <w:rsid w:val="003F2590"/>
    <w:rsid w:val="003F609B"/>
    <w:rsid w:val="003F684D"/>
    <w:rsid w:val="00401529"/>
    <w:rsid w:val="00403978"/>
    <w:rsid w:val="00411615"/>
    <w:rsid w:val="0041296A"/>
    <w:rsid w:val="00414796"/>
    <w:rsid w:val="00414C46"/>
    <w:rsid w:val="00417B1F"/>
    <w:rsid w:val="00423E0C"/>
    <w:rsid w:val="004300B0"/>
    <w:rsid w:val="00435967"/>
    <w:rsid w:val="0044197C"/>
    <w:rsid w:val="00441A57"/>
    <w:rsid w:val="0044524D"/>
    <w:rsid w:val="00452A4E"/>
    <w:rsid w:val="004547C3"/>
    <w:rsid w:val="004555EC"/>
    <w:rsid w:val="004566FC"/>
    <w:rsid w:val="00464346"/>
    <w:rsid w:val="00465D7C"/>
    <w:rsid w:val="004673CD"/>
    <w:rsid w:val="00477A88"/>
    <w:rsid w:val="004865EF"/>
    <w:rsid w:val="00492B32"/>
    <w:rsid w:val="00493B1C"/>
    <w:rsid w:val="004976D7"/>
    <w:rsid w:val="004A0C5B"/>
    <w:rsid w:val="004A2D78"/>
    <w:rsid w:val="004A3C41"/>
    <w:rsid w:val="004B4010"/>
    <w:rsid w:val="004B68A9"/>
    <w:rsid w:val="004C1015"/>
    <w:rsid w:val="004C34E2"/>
    <w:rsid w:val="004C55CE"/>
    <w:rsid w:val="004D4E79"/>
    <w:rsid w:val="004D73C1"/>
    <w:rsid w:val="004E68E2"/>
    <w:rsid w:val="004E68EE"/>
    <w:rsid w:val="004E7B3A"/>
    <w:rsid w:val="00517A47"/>
    <w:rsid w:val="00526E85"/>
    <w:rsid w:val="00536372"/>
    <w:rsid w:val="0054577B"/>
    <w:rsid w:val="00550E87"/>
    <w:rsid w:val="00554427"/>
    <w:rsid w:val="00554C25"/>
    <w:rsid w:val="00556C90"/>
    <w:rsid w:val="005634DA"/>
    <w:rsid w:val="00571D26"/>
    <w:rsid w:val="00572A2A"/>
    <w:rsid w:val="00577C4B"/>
    <w:rsid w:val="005810E7"/>
    <w:rsid w:val="00583DCB"/>
    <w:rsid w:val="005935F5"/>
    <w:rsid w:val="00594899"/>
    <w:rsid w:val="005A3925"/>
    <w:rsid w:val="005B04A4"/>
    <w:rsid w:val="005B71A9"/>
    <w:rsid w:val="005C11F2"/>
    <w:rsid w:val="005C13E1"/>
    <w:rsid w:val="005C182F"/>
    <w:rsid w:val="005C4208"/>
    <w:rsid w:val="005C61F8"/>
    <w:rsid w:val="005C691F"/>
    <w:rsid w:val="005C761E"/>
    <w:rsid w:val="005D42C5"/>
    <w:rsid w:val="005D7734"/>
    <w:rsid w:val="005E50AC"/>
    <w:rsid w:val="005E67FB"/>
    <w:rsid w:val="00600375"/>
    <w:rsid w:val="00606D7B"/>
    <w:rsid w:val="00612B4F"/>
    <w:rsid w:val="00612D54"/>
    <w:rsid w:val="00612F7B"/>
    <w:rsid w:val="006153FE"/>
    <w:rsid w:val="00620330"/>
    <w:rsid w:val="00634DC7"/>
    <w:rsid w:val="00635049"/>
    <w:rsid w:val="00636EC7"/>
    <w:rsid w:val="00650D89"/>
    <w:rsid w:val="00650DD6"/>
    <w:rsid w:val="0065657D"/>
    <w:rsid w:val="00670F1B"/>
    <w:rsid w:val="006727E4"/>
    <w:rsid w:val="006735A7"/>
    <w:rsid w:val="00676066"/>
    <w:rsid w:val="0068191F"/>
    <w:rsid w:val="006836B5"/>
    <w:rsid w:val="00684050"/>
    <w:rsid w:val="00690538"/>
    <w:rsid w:val="006967CB"/>
    <w:rsid w:val="006A0091"/>
    <w:rsid w:val="006A132C"/>
    <w:rsid w:val="006A4677"/>
    <w:rsid w:val="006A4F7B"/>
    <w:rsid w:val="006A694A"/>
    <w:rsid w:val="006A7792"/>
    <w:rsid w:val="006A7924"/>
    <w:rsid w:val="006B01AD"/>
    <w:rsid w:val="006B028C"/>
    <w:rsid w:val="006B6587"/>
    <w:rsid w:val="006B694F"/>
    <w:rsid w:val="006B7612"/>
    <w:rsid w:val="006C60C0"/>
    <w:rsid w:val="006C6402"/>
    <w:rsid w:val="006D4B9B"/>
    <w:rsid w:val="006D5C8F"/>
    <w:rsid w:val="006E6824"/>
    <w:rsid w:val="006F0C95"/>
    <w:rsid w:val="006F46A2"/>
    <w:rsid w:val="007027A8"/>
    <w:rsid w:val="007055D0"/>
    <w:rsid w:val="00712381"/>
    <w:rsid w:val="00712A2A"/>
    <w:rsid w:val="00717885"/>
    <w:rsid w:val="00727E59"/>
    <w:rsid w:val="00730346"/>
    <w:rsid w:val="007410FA"/>
    <w:rsid w:val="007420D9"/>
    <w:rsid w:val="00773407"/>
    <w:rsid w:val="00776972"/>
    <w:rsid w:val="00776DCF"/>
    <w:rsid w:val="00780DEE"/>
    <w:rsid w:val="00782D47"/>
    <w:rsid w:val="0079137E"/>
    <w:rsid w:val="007944E7"/>
    <w:rsid w:val="00796A16"/>
    <w:rsid w:val="007A11A8"/>
    <w:rsid w:val="007A222E"/>
    <w:rsid w:val="007A367D"/>
    <w:rsid w:val="007A37C3"/>
    <w:rsid w:val="007A4CD7"/>
    <w:rsid w:val="007B47E1"/>
    <w:rsid w:val="007B59BE"/>
    <w:rsid w:val="007B5BD0"/>
    <w:rsid w:val="007B6293"/>
    <w:rsid w:val="007B6829"/>
    <w:rsid w:val="007C0EAB"/>
    <w:rsid w:val="007C2864"/>
    <w:rsid w:val="007C5C43"/>
    <w:rsid w:val="007D42FE"/>
    <w:rsid w:val="007E2CA8"/>
    <w:rsid w:val="007E5067"/>
    <w:rsid w:val="007F6DD6"/>
    <w:rsid w:val="007F7BFF"/>
    <w:rsid w:val="0080064F"/>
    <w:rsid w:val="008007ED"/>
    <w:rsid w:val="008115DA"/>
    <w:rsid w:val="008134FD"/>
    <w:rsid w:val="008177F5"/>
    <w:rsid w:val="00821FF1"/>
    <w:rsid w:val="008227EE"/>
    <w:rsid w:val="00822979"/>
    <w:rsid w:val="008255F1"/>
    <w:rsid w:val="0083054E"/>
    <w:rsid w:val="00831AAB"/>
    <w:rsid w:val="00833BC4"/>
    <w:rsid w:val="0084716C"/>
    <w:rsid w:val="0085522B"/>
    <w:rsid w:val="00855DC3"/>
    <w:rsid w:val="00862288"/>
    <w:rsid w:val="00864DD5"/>
    <w:rsid w:val="00871422"/>
    <w:rsid w:val="00873E97"/>
    <w:rsid w:val="00883717"/>
    <w:rsid w:val="00886EB2"/>
    <w:rsid w:val="00890249"/>
    <w:rsid w:val="0089657C"/>
    <w:rsid w:val="008A72B7"/>
    <w:rsid w:val="008B09E6"/>
    <w:rsid w:val="008B30F8"/>
    <w:rsid w:val="008B34CB"/>
    <w:rsid w:val="008B6827"/>
    <w:rsid w:val="008C7349"/>
    <w:rsid w:val="008D0BFE"/>
    <w:rsid w:val="008D4BBC"/>
    <w:rsid w:val="008D5D3C"/>
    <w:rsid w:val="008E0782"/>
    <w:rsid w:val="008E4ED1"/>
    <w:rsid w:val="008E57E4"/>
    <w:rsid w:val="008E6098"/>
    <w:rsid w:val="008F2CAD"/>
    <w:rsid w:val="008F2D75"/>
    <w:rsid w:val="00900490"/>
    <w:rsid w:val="00901B0E"/>
    <w:rsid w:val="009054A6"/>
    <w:rsid w:val="00907B1A"/>
    <w:rsid w:val="009126B4"/>
    <w:rsid w:val="00912AC1"/>
    <w:rsid w:val="00912FA7"/>
    <w:rsid w:val="009143AE"/>
    <w:rsid w:val="0092164B"/>
    <w:rsid w:val="009249A0"/>
    <w:rsid w:val="0092573E"/>
    <w:rsid w:val="00935692"/>
    <w:rsid w:val="009403C1"/>
    <w:rsid w:val="009421C5"/>
    <w:rsid w:val="00942FFA"/>
    <w:rsid w:val="00944D8B"/>
    <w:rsid w:val="00945933"/>
    <w:rsid w:val="0095478E"/>
    <w:rsid w:val="009566D7"/>
    <w:rsid w:val="009600DA"/>
    <w:rsid w:val="0096010C"/>
    <w:rsid w:val="00972F7F"/>
    <w:rsid w:val="00976200"/>
    <w:rsid w:val="009766EA"/>
    <w:rsid w:val="00977791"/>
    <w:rsid w:val="00995642"/>
    <w:rsid w:val="00995C34"/>
    <w:rsid w:val="0099780F"/>
    <w:rsid w:val="009B5FF7"/>
    <w:rsid w:val="009B7770"/>
    <w:rsid w:val="009C0511"/>
    <w:rsid w:val="009C0CEE"/>
    <w:rsid w:val="009C0CF9"/>
    <w:rsid w:val="009D2D2D"/>
    <w:rsid w:val="009D5FE5"/>
    <w:rsid w:val="009E2AF5"/>
    <w:rsid w:val="009F5DEF"/>
    <w:rsid w:val="009F7A56"/>
    <w:rsid w:val="00A05220"/>
    <w:rsid w:val="00A07400"/>
    <w:rsid w:val="00A12511"/>
    <w:rsid w:val="00A1254C"/>
    <w:rsid w:val="00A16D3C"/>
    <w:rsid w:val="00A17984"/>
    <w:rsid w:val="00A33297"/>
    <w:rsid w:val="00A3556E"/>
    <w:rsid w:val="00A4727F"/>
    <w:rsid w:val="00A56DF6"/>
    <w:rsid w:val="00A75B50"/>
    <w:rsid w:val="00A76E88"/>
    <w:rsid w:val="00A91BF3"/>
    <w:rsid w:val="00A97D51"/>
    <w:rsid w:val="00AA04CC"/>
    <w:rsid w:val="00AA31A2"/>
    <w:rsid w:val="00AA78C8"/>
    <w:rsid w:val="00AB0084"/>
    <w:rsid w:val="00AB193D"/>
    <w:rsid w:val="00AB37FA"/>
    <w:rsid w:val="00AB3EE5"/>
    <w:rsid w:val="00AB3F80"/>
    <w:rsid w:val="00AC544E"/>
    <w:rsid w:val="00AC581E"/>
    <w:rsid w:val="00AD23B2"/>
    <w:rsid w:val="00AD5C18"/>
    <w:rsid w:val="00AE200B"/>
    <w:rsid w:val="00AE2479"/>
    <w:rsid w:val="00AF3752"/>
    <w:rsid w:val="00AF48C6"/>
    <w:rsid w:val="00AF596E"/>
    <w:rsid w:val="00B02CE4"/>
    <w:rsid w:val="00B03A2F"/>
    <w:rsid w:val="00B041F7"/>
    <w:rsid w:val="00B04724"/>
    <w:rsid w:val="00B074E5"/>
    <w:rsid w:val="00B077C8"/>
    <w:rsid w:val="00B10B95"/>
    <w:rsid w:val="00B15496"/>
    <w:rsid w:val="00B2012E"/>
    <w:rsid w:val="00B24034"/>
    <w:rsid w:val="00B27B4D"/>
    <w:rsid w:val="00B31ADB"/>
    <w:rsid w:val="00B33081"/>
    <w:rsid w:val="00B3311A"/>
    <w:rsid w:val="00B35896"/>
    <w:rsid w:val="00B37071"/>
    <w:rsid w:val="00B41C02"/>
    <w:rsid w:val="00B54BF9"/>
    <w:rsid w:val="00B564FA"/>
    <w:rsid w:val="00B5662A"/>
    <w:rsid w:val="00B57F18"/>
    <w:rsid w:val="00B60FB4"/>
    <w:rsid w:val="00B63FB9"/>
    <w:rsid w:val="00B73C7B"/>
    <w:rsid w:val="00B827CE"/>
    <w:rsid w:val="00B82E29"/>
    <w:rsid w:val="00B83920"/>
    <w:rsid w:val="00B900DC"/>
    <w:rsid w:val="00BA11B8"/>
    <w:rsid w:val="00BB347E"/>
    <w:rsid w:val="00BC2928"/>
    <w:rsid w:val="00BD4A35"/>
    <w:rsid w:val="00BE7122"/>
    <w:rsid w:val="00BF2FE5"/>
    <w:rsid w:val="00BF4EF8"/>
    <w:rsid w:val="00C0763C"/>
    <w:rsid w:val="00C07EDA"/>
    <w:rsid w:val="00C124C0"/>
    <w:rsid w:val="00C175D5"/>
    <w:rsid w:val="00C24606"/>
    <w:rsid w:val="00C27AB4"/>
    <w:rsid w:val="00C3411B"/>
    <w:rsid w:val="00C362DF"/>
    <w:rsid w:val="00C379E3"/>
    <w:rsid w:val="00C37D5E"/>
    <w:rsid w:val="00C413C3"/>
    <w:rsid w:val="00C437CA"/>
    <w:rsid w:val="00C47BBE"/>
    <w:rsid w:val="00C47C2B"/>
    <w:rsid w:val="00C60198"/>
    <w:rsid w:val="00C60A65"/>
    <w:rsid w:val="00C66D01"/>
    <w:rsid w:val="00C70565"/>
    <w:rsid w:val="00C70D56"/>
    <w:rsid w:val="00C768E3"/>
    <w:rsid w:val="00C81501"/>
    <w:rsid w:val="00C825C1"/>
    <w:rsid w:val="00C82BD8"/>
    <w:rsid w:val="00C85D65"/>
    <w:rsid w:val="00C85DCF"/>
    <w:rsid w:val="00C930B5"/>
    <w:rsid w:val="00C95306"/>
    <w:rsid w:val="00C967C5"/>
    <w:rsid w:val="00C96ABA"/>
    <w:rsid w:val="00CA0AA4"/>
    <w:rsid w:val="00CA584D"/>
    <w:rsid w:val="00CA6D2B"/>
    <w:rsid w:val="00CB0599"/>
    <w:rsid w:val="00CB245B"/>
    <w:rsid w:val="00CC0230"/>
    <w:rsid w:val="00CC3D16"/>
    <w:rsid w:val="00CC5105"/>
    <w:rsid w:val="00CC68E2"/>
    <w:rsid w:val="00CC6C66"/>
    <w:rsid w:val="00CD3E15"/>
    <w:rsid w:val="00CE1F7F"/>
    <w:rsid w:val="00CE260A"/>
    <w:rsid w:val="00CF449F"/>
    <w:rsid w:val="00CF520A"/>
    <w:rsid w:val="00CF7E8A"/>
    <w:rsid w:val="00D03EB6"/>
    <w:rsid w:val="00D0403F"/>
    <w:rsid w:val="00D054E3"/>
    <w:rsid w:val="00D06872"/>
    <w:rsid w:val="00D071D0"/>
    <w:rsid w:val="00D10DFF"/>
    <w:rsid w:val="00D11821"/>
    <w:rsid w:val="00D141BF"/>
    <w:rsid w:val="00D17EFB"/>
    <w:rsid w:val="00D21687"/>
    <w:rsid w:val="00D22D10"/>
    <w:rsid w:val="00D25FE9"/>
    <w:rsid w:val="00D3446E"/>
    <w:rsid w:val="00D35607"/>
    <w:rsid w:val="00D37C59"/>
    <w:rsid w:val="00D4173E"/>
    <w:rsid w:val="00D433C9"/>
    <w:rsid w:val="00D558ED"/>
    <w:rsid w:val="00D565A7"/>
    <w:rsid w:val="00D56A03"/>
    <w:rsid w:val="00D611C6"/>
    <w:rsid w:val="00D72397"/>
    <w:rsid w:val="00D72690"/>
    <w:rsid w:val="00D75EEB"/>
    <w:rsid w:val="00D804BD"/>
    <w:rsid w:val="00D80FA4"/>
    <w:rsid w:val="00D85022"/>
    <w:rsid w:val="00D86D43"/>
    <w:rsid w:val="00D91DD4"/>
    <w:rsid w:val="00D933E6"/>
    <w:rsid w:val="00D94F2A"/>
    <w:rsid w:val="00D9722B"/>
    <w:rsid w:val="00DA2E44"/>
    <w:rsid w:val="00DA5B0B"/>
    <w:rsid w:val="00DA65A3"/>
    <w:rsid w:val="00DB0C1C"/>
    <w:rsid w:val="00DB59FD"/>
    <w:rsid w:val="00DD7225"/>
    <w:rsid w:val="00DD7E5B"/>
    <w:rsid w:val="00DE23FC"/>
    <w:rsid w:val="00DE615A"/>
    <w:rsid w:val="00DF06A2"/>
    <w:rsid w:val="00DF34B2"/>
    <w:rsid w:val="00E04DC3"/>
    <w:rsid w:val="00E05AB8"/>
    <w:rsid w:val="00E13B90"/>
    <w:rsid w:val="00E13D2B"/>
    <w:rsid w:val="00E419B8"/>
    <w:rsid w:val="00E42BAF"/>
    <w:rsid w:val="00E433A0"/>
    <w:rsid w:val="00E461EE"/>
    <w:rsid w:val="00E46252"/>
    <w:rsid w:val="00E47865"/>
    <w:rsid w:val="00E47C69"/>
    <w:rsid w:val="00E554A2"/>
    <w:rsid w:val="00E55F1A"/>
    <w:rsid w:val="00E62787"/>
    <w:rsid w:val="00E64092"/>
    <w:rsid w:val="00E668A1"/>
    <w:rsid w:val="00E67618"/>
    <w:rsid w:val="00E74FB0"/>
    <w:rsid w:val="00E75C36"/>
    <w:rsid w:val="00E8194E"/>
    <w:rsid w:val="00E93965"/>
    <w:rsid w:val="00E9773D"/>
    <w:rsid w:val="00E979B9"/>
    <w:rsid w:val="00EA145B"/>
    <w:rsid w:val="00EA3B1C"/>
    <w:rsid w:val="00EA5810"/>
    <w:rsid w:val="00EA6A58"/>
    <w:rsid w:val="00EB5660"/>
    <w:rsid w:val="00EC03A4"/>
    <w:rsid w:val="00EC2D4A"/>
    <w:rsid w:val="00EC2E94"/>
    <w:rsid w:val="00EC5A62"/>
    <w:rsid w:val="00EC71B4"/>
    <w:rsid w:val="00ED5E12"/>
    <w:rsid w:val="00EE2843"/>
    <w:rsid w:val="00EE4F2B"/>
    <w:rsid w:val="00EE6E62"/>
    <w:rsid w:val="00EF033F"/>
    <w:rsid w:val="00EF4559"/>
    <w:rsid w:val="00EF7AB1"/>
    <w:rsid w:val="00F15E76"/>
    <w:rsid w:val="00F21E41"/>
    <w:rsid w:val="00F22071"/>
    <w:rsid w:val="00F25805"/>
    <w:rsid w:val="00F264B4"/>
    <w:rsid w:val="00F275E6"/>
    <w:rsid w:val="00F360BD"/>
    <w:rsid w:val="00F40CAF"/>
    <w:rsid w:val="00F4168A"/>
    <w:rsid w:val="00F51FFF"/>
    <w:rsid w:val="00F5569A"/>
    <w:rsid w:val="00F57FE0"/>
    <w:rsid w:val="00F61140"/>
    <w:rsid w:val="00F61639"/>
    <w:rsid w:val="00F62606"/>
    <w:rsid w:val="00F64E5E"/>
    <w:rsid w:val="00F73A4F"/>
    <w:rsid w:val="00F8357B"/>
    <w:rsid w:val="00F8549D"/>
    <w:rsid w:val="00F94DAC"/>
    <w:rsid w:val="00F97349"/>
    <w:rsid w:val="00FB12B3"/>
    <w:rsid w:val="00FB1659"/>
    <w:rsid w:val="00FB1BBE"/>
    <w:rsid w:val="00FB2F5B"/>
    <w:rsid w:val="00FB54F6"/>
    <w:rsid w:val="00FB78E0"/>
    <w:rsid w:val="00FC03CF"/>
    <w:rsid w:val="00FD58DF"/>
    <w:rsid w:val="00FD6E12"/>
    <w:rsid w:val="00FE27B8"/>
    <w:rsid w:val="00FF29FF"/>
    <w:rsid w:val="00FF5FF4"/>
    <w:rsid w:val="00FF6D84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D8DA"/>
  <w15:docId w15:val="{69141CAD-C2D4-4FF7-AF62-84B56517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D4"/>
  </w:style>
  <w:style w:type="paragraph" w:styleId="3">
    <w:name w:val="heading 3"/>
    <w:basedOn w:val="a"/>
    <w:next w:val="a"/>
    <w:link w:val="30"/>
    <w:uiPriority w:val="9"/>
    <w:qFormat/>
    <w:rsid w:val="00DB0C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B0C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0C1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uiPriority w:val="9"/>
    <w:rsid w:val="00DB0C1C"/>
    <w:rPr>
      <w:rFonts w:ascii="Calibri" w:eastAsia="Times New Roman" w:hAnsi="Calibri" w:cs="Times New Roman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DB0C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0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aiaaoiuehtml1">
    <w:name w:val="noaiaaoiuehtml1"/>
    <w:basedOn w:val="a"/>
    <w:rsid w:val="00DB0C1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Обычный1"/>
    <w:rsid w:val="00217F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B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3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50DD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4524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524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524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524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524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44524D"/>
    <w:pPr>
      <w:spacing w:after="0" w:line="240" w:lineRule="auto"/>
    </w:pPr>
  </w:style>
  <w:style w:type="character" w:customStyle="1" w:styleId="ae">
    <w:name w:val="Без интервала Знак"/>
    <w:basedOn w:val="a0"/>
    <w:link w:val="af"/>
    <w:uiPriority w:val="1"/>
    <w:locked/>
    <w:rsid w:val="00D565A7"/>
  </w:style>
  <w:style w:type="paragraph" w:styleId="af">
    <w:name w:val="No Spacing"/>
    <w:basedOn w:val="a"/>
    <w:link w:val="ae"/>
    <w:uiPriority w:val="1"/>
    <w:qFormat/>
    <w:rsid w:val="00D565A7"/>
    <w:pPr>
      <w:spacing w:after="0" w:line="240" w:lineRule="auto"/>
      <w:jc w:val="both"/>
    </w:pPr>
  </w:style>
  <w:style w:type="paragraph" w:styleId="af0">
    <w:name w:val="Normal (Web)"/>
    <w:basedOn w:val="a"/>
    <w:uiPriority w:val="99"/>
    <w:semiHidden/>
    <w:unhideWhenUsed/>
    <w:rsid w:val="000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61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3696-A982-4C7B-B67C-2F526A0E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GladPharm</Company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Ivchenko.L</dc:creator>
  <cp:keywords/>
  <dc:description/>
  <cp:lastModifiedBy>Таран Оксана</cp:lastModifiedBy>
  <cp:revision>7</cp:revision>
  <cp:lastPrinted>2020-06-22T06:11:00Z</cp:lastPrinted>
  <dcterms:created xsi:type="dcterms:W3CDTF">2020-07-07T14:27:00Z</dcterms:created>
  <dcterms:modified xsi:type="dcterms:W3CDTF">2020-07-24T06:21:00Z</dcterms:modified>
</cp:coreProperties>
</file>