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3362"/>
      </w:tblGrid>
      <w:tr w:rsidR="0089749F" w:rsidRPr="0097507A" w14:paraId="66069CCA" w14:textId="77777777" w:rsidTr="0099739F">
        <w:trPr>
          <w:jc w:val="right"/>
        </w:trPr>
        <w:tc>
          <w:tcPr>
            <w:tcW w:w="3362" w:type="dxa"/>
          </w:tcPr>
          <w:p w14:paraId="476B556B" w14:textId="77777777" w:rsidR="00A0799C" w:rsidRPr="00A0799C" w:rsidRDefault="00A0799C" w:rsidP="00224386">
            <w:pPr>
              <w:shd w:val="clear" w:color="auto" w:fill="FFFFFF"/>
              <w:spacing w:after="0" w:line="240" w:lineRule="auto"/>
              <w:ind w:right="10"/>
              <w:jc w:val="center"/>
              <w:rPr>
                <w:rFonts w:eastAsia="MS Mincho"/>
                <w:b/>
                <w:bCs/>
                <w:spacing w:val="-1"/>
                <w:szCs w:val="24"/>
                <w:lang w:val="en-US" w:eastAsia="ru-RU"/>
              </w:rPr>
            </w:pPr>
            <w:r w:rsidRPr="00A0799C">
              <w:rPr>
                <w:rFonts w:eastAsia="MS Mincho"/>
                <w:b/>
                <w:bCs/>
                <w:spacing w:val="-2"/>
                <w:szCs w:val="24"/>
                <w:lang w:val="en-US" w:eastAsia="ru-RU"/>
              </w:rPr>
              <w:t>Approved</w:t>
            </w:r>
            <w:r w:rsidRPr="00A0799C">
              <w:rPr>
                <w:rFonts w:eastAsia="MS Mincho"/>
                <w:b/>
                <w:bCs/>
                <w:spacing w:val="-1"/>
                <w:szCs w:val="24"/>
                <w:lang w:val="en-US" w:eastAsia="ru-RU"/>
              </w:rPr>
              <w:t xml:space="preserve"> </w:t>
            </w:r>
          </w:p>
          <w:p w14:paraId="7BB8CF19" w14:textId="77777777" w:rsidR="00A0799C" w:rsidRPr="00A0799C" w:rsidRDefault="00A0799C" w:rsidP="00224386">
            <w:pPr>
              <w:shd w:val="clear" w:color="auto" w:fill="FFFFFF"/>
              <w:spacing w:after="0" w:line="240" w:lineRule="auto"/>
              <w:ind w:right="10"/>
              <w:jc w:val="center"/>
              <w:rPr>
                <w:rFonts w:eastAsia="MS Mincho"/>
                <w:b/>
                <w:bCs/>
                <w:spacing w:val="-2"/>
                <w:szCs w:val="24"/>
                <w:lang w:val="en-US" w:eastAsia="ru-RU"/>
              </w:rPr>
            </w:pPr>
            <w:r w:rsidRPr="00A0799C">
              <w:rPr>
                <w:rFonts w:eastAsia="MS Mincho"/>
                <w:b/>
                <w:bCs/>
                <w:spacing w:val="-2"/>
                <w:szCs w:val="24"/>
                <w:lang w:val="en-US" w:eastAsia="ru-RU"/>
              </w:rPr>
              <w:t>Order of Ministry of Healthcare of Ukraine</w:t>
            </w:r>
          </w:p>
          <w:p w14:paraId="7BEDDB21" w14:textId="77777777" w:rsidR="0089749F" w:rsidRPr="00A0799C" w:rsidRDefault="0018795A" w:rsidP="00224386">
            <w:pPr>
              <w:shd w:val="clear" w:color="auto" w:fill="FFFFFF"/>
              <w:tabs>
                <w:tab w:val="left" w:pos="1900"/>
                <w:tab w:val="left" w:leader="underscore" w:pos="7584"/>
                <w:tab w:val="left" w:leader="underscore" w:pos="9379"/>
              </w:tabs>
              <w:spacing w:after="0" w:line="240" w:lineRule="auto"/>
              <w:jc w:val="center"/>
              <w:rPr>
                <w:rFonts w:eastAsia="MS Mincho"/>
                <w:b/>
                <w:szCs w:val="24"/>
                <w:lang w:val="en-US" w:eastAsia="ru-RU"/>
              </w:rPr>
            </w:pPr>
            <w:r w:rsidRPr="00A0799C">
              <w:rPr>
                <w:rFonts w:eastAsia="MS Mincho"/>
                <w:b/>
                <w:bCs/>
                <w:szCs w:val="24"/>
                <w:lang w:val="en-US" w:eastAsia="ru-RU"/>
              </w:rPr>
              <w:t>01.08.2017</w:t>
            </w:r>
            <w:r w:rsidR="0089749F" w:rsidRPr="00A0799C">
              <w:rPr>
                <w:rFonts w:eastAsia="MS Mincho"/>
                <w:b/>
                <w:bCs/>
                <w:szCs w:val="24"/>
                <w:lang w:val="en-US" w:eastAsia="ru-RU"/>
              </w:rPr>
              <w:t xml:space="preserve"> </w:t>
            </w:r>
            <w:r w:rsidR="00A0799C" w:rsidRPr="00A0799C">
              <w:rPr>
                <w:rFonts w:eastAsia="MS Mincho"/>
                <w:b/>
                <w:bCs/>
                <w:szCs w:val="24"/>
                <w:lang w:val="en-US" w:eastAsia="ru-RU"/>
              </w:rPr>
              <w:t>No.</w:t>
            </w:r>
            <w:r w:rsidR="0089749F" w:rsidRPr="00A0799C">
              <w:rPr>
                <w:rFonts w:eastAsia="MS Mincho"/>
                <w:b/>
                <w:bCs/>
                <w:szCs w:val="24"/>
                <w:lang w:val="en-US" w:eastAsia="ru-RU"/>
              </w:rPr>
              <w:t xml:space="preserve"> </w:t>
            </w:r>
            <w:r w:rsidRPr="00A0799C">
              <w:rPr>
                <w:rFonts w:eastAsia="MS Mincho"/>
                <w:b/>
                <w:bCs/>
                <w:szCs w:val="24"/>
                <w:lang w:val="en-US" w:eastAsia="ru-RU"/>
              </w:rPr>
              <w:t>887</w:t>
            </w:r>
            <w:r w:rsidR="0089749F" w:rsidRPr="00A0799C">
              <w:rPr>
                <w:rFonts w:eastAsia="MS Mincho"/>
                <w:b/>
                <w:bCs/>
                <w:szCs w:val="24"/>
                <w:lang w:val="en-US" w:eastAsia="ru-RU"/>
              </w:rPr>
              <w:t xml:space="preserve"> </w:t>
            </w:r>
          </w:p>
          <w:p w14:paraId="069D8CDF" w14:textId="77777777" w:rsidR="0089749F" w:rsidRDefault="00A0799C" w:rsidP="00224386">
            <w:pPr>
              <w:keepNext/>
              <w:widowControl w:val="0"/>
              <w:autoSpaceDE w:val="0"/>
              <w:autoSpaceDN w:val="0"/>
              <w:adjustRightInd w:val="0"/>
              <w:spacing w:after="0" w:line="240" w:lineRule="auto"/>
              <w:ind w:right="19"/>
              <w:jc w:val="center"/>
              <w:outlineLvl w:val="1"/>
              <w:rPr>
                <w:rFonts w:eastAsia="MS Mincho"/>
                <w:b/>
                <w:color w:val="000000"/>
                <w:spacing w:val="-2"/>
                <w:szCs w:val="24"/>
                <w:lang w:val="en-US" w:eastAsia="ru-RU"/>
              </w:rPr>
            </w:pPr>
            <w:r w:rsidRPr="00A0799C">
              <w:rPr>
                <w:b/>
                <w:lang w:val="en-US"/>
              </w:rPr>
              <w:t>Registration certificate</w:t>
            </w:r>
            <w:r w:rsidRPr="00A0799C">
              <w:rPr>
                <w:rFonts w:eastAsia="MS Mincho"/>
                <w:b/>
                <w:color w:val="000000"/>
                <w:spacing w:val="-2"/>
                <w:szCs w:val="24"/>
                <w:lang w:val="en-US" w:eastAsia="ru-RU"/>
              </w:rPr>
              <w:t xml:space="preserve"> No.</w:t>
            </w:r>
            <w:r>
              <w:rPr>
                <w:rFonts w:eastAsia="MS Mincho"/>
                <w:b/>
                <w:color w:val="000000"/>
                <w:spacing w:val="-2"/>
                <w:szCs w:val="24"/>
                <w:lang w:val="en-US" w:eastAsia="ru-RU"/>
              </w:rPr>
              <w:t> </w:t>
            </w:r>
            <w:r w:rsidR="0018795A" w:rsidRPr="00A0799C">
              <w:rPr>
                <w:rFonts w:eastAsia="MS Mincho"/>
                <w:b/>
                <w:color w:val="000000"/>
                <w:spacing w:val="-2"/>
                <w:szCs w:val="24"/>
                <w:lang w:val="en-US" w:eastAsia="ru-RU"/>
              </w:rPr>
              <w:t>UA/0081/02/01</w:t>
            </w:r>
          </w:p>
          <w:p w14:paraId="47C291D6" w14:textId="77777777" w:rsidR="00A479F0" w:rsidRDefault="00A479F0" w:rsidP="00224386">
            <w:pPr>
              <w:keepNext/>
              <w:widowControl w:val="0"/>
              <w:autoSpaceDE w:val="0"/>
              <w:autoSpaceDN w:val="0"/>
              <w:adjustRightInd w:val="0"/>
              <w:spacing w:after="0" w:line="240" w:lineRule="auto"/>
              <w:ind w:right="19"/>
              <w:jc w:val="center"/>
              <w:outlineLvl w:val="1"/>
              <w:rPr>
                <w:rFonts w:eastAsia="MS Mincho"/>
                <w:b/>
                <w:color w:val="000000"/>
                <w:spacing w:val="-2"/>
                <w:szCs w:val="24"/>
                <w:lang w:val="ru-RU" w:eastAsia="ru-RU"/>
              </w:rPr>
            </w:pPr>
          </w:p>
          <w:p w14:paraId="69004066" w14:textId="77777777" w:rsidR="00A479F0" w:rsidRPr="00A479F0" w:rsidRDefault="00A479F0" w:rsidP="00A479F0">
            <w:pPr>
              <w:keepNext/>
              <w:widowControl w:val="0"/>
              <w:autoSpaceDE w:val="0"/>
              <w:autoSpaceDN w:val="0"/>
              <w:adjustRightInd w:val="0"/>
              <w:spacing w:after="0" w:line="240" w:lineRule="auto"/>
              <w:ind w:right="19"/>
              <w:jc w:val="center"/>
              <w:outlineLvl w:val="1"/>
              <w:rPr>
                <w:rFonts w:eastAsia="MS Mincho"/>
                <w:b/>
                <w:bCs/>
                <w:spacing w:val="-2"/>
                <w:szCs w:val="24"/>
                <w:lang w:val="en-US" w:eastAsia="ru-RU"/>
              </w:rPr>
            </w:pPr>
            <w:r w:rsidRPr="00A479F0">
              <w:rPr>
                <w:rFonts w:eastAsia="MS Mincho"/>
                <w:b/>
                <w:bCs/>
                <w:spacing w:val="-2"/>
                <w:szCs w:val="24"/>
                <w:lang w:val="en-US" w:eastAsia="ru-RU"/>
              </w:rPr>
              <w:t>AMENDED</w:t>
            </w:r>
          </w:p>
          <w:p w14:paraId="49B3891B" w14:textId="77777777" w:rsidR="00A479F0" w:rsidRPr="00A479F0" w:rsidRDefault="00A479F0" w:rsidP="00A479F0">
            <w:pPr>
              <w:keepNext/>
              <w:widowControl w:val="0"/>
              <w:autoSpaceDE w:val="0"/>
              <w:autoSpaceDN w:val="0"/>
              <w:adjustRightInd w:val="0"/>
              <w:spacing w:after="0" w:line="240" w:lineRule="auto"/>
              <w:ind w:right="19"/>
              <w:jc w:val="center"/>
              <w:outlineLvl w:val="1"/>
              <w:rPr>
                <w:rFonts w:eastAsia="MS Mincho"/>
                <w:b/>
                <w:bCs/>
                <w:spacing w:val="-2"/>
                <w:szCs w:val="24"/>
                <w:lang w:val="en-US" w:eastAsia="ru-RU"/>
              </w:rPr>
            </w:pPr>
            <w:r w:rsidRPr="00A479F0">
              <w:rPr>
                <w:rFonts w:eastAsia="MS Mincho"/>
                <w:b/>
                <w:bCs/>
                <w:spacing w:val="-2"/>
                <w:szCs w:val="24"/>
                <w:lang w:val="en-US" w:eastAsia="ru-RU"/>
              </w:rPr>
              <w:t>Order of Ministry of</w:t>
            </w:r>
          </w:p>
          <w:p w14:paraId="079FBAE9" w14:textId="77777777" w:rsidR="00A479F0" w:rsidRPr="00A479F0" w:rsidRDefault="00A479F0" w:rsidP="00A479F0">
            <w:pPr>
              <w:keepNext/>
              <w:widowControl w:val="0"/>
              <w:autoSpaceDE w:val="0"/>
              <w:autoSpaceDN w:val="0"/>
              <w:adjustRightInd w:val="0"/>
              <w:spacing w:after="0" w:line="240" w:lineRule="auto"/>
              <w:ind w:right="19"/>
              <w:jc w:val="center"/>
              <w:outlineLvl w:val="1"/>
              <w:rPr>
                <w:rFonts w:eastAsia="MS Mincho"/>
                <w:b/>
                <w:bCs/>
                <w:spacing w:val="-2"/>
                <w:szCs w:val="24"/>
                <w:lang w:val="en-US" w:eastAsia="ru-RU"/>
              </w:rPr>
            </w:pPr>
            <w:r w:rsidRPr="00A479F0">
              <w:rPr>
                <w:rFonts w:eastAsia="MS Mincho"/>
                <w:b/>
                <w:bCs/>
                <w:spacing w:val="-2"/>
                <w:szCs w:val="24"/>
                <w:lang w:val="en-US" w:eastAsia="ru-RU"/>
              </w:rPr>
              <w:t>Healthcare of Ukraine</w:t>
            </w:r>
          </w:p>
          <w:p w14:paraId="6EFC744D" w14:textId="6CE28F25" w:rsidR="00A479F0" w:rsidRPr="00A479F0" w:rsidRDefault="00A479F0" w:rsidP="00A479F0">
            <w:pPr>
              <w:keepNext/>
              <w:widowControl w:val="0"/>
              <w:autoSpaceDE w:val="0"/>
              <w:autoSpaceDN w:val="0"/>
              <w:adjustRightInd w:val="0"/>
              <w:spacing w:after="0" w:line="240" w:lineRule="auto"/>
              <w:ind w:right="19"/>
              <w:jc w:val="center"/>
              <w:outlineLvl w:val="1"/>
              <w:rPr>
                <w:rFonts w:eastAsia="MS Mincho"/>
                <w:b/>
                <w:bCs/>
                <w:spacing w:val="-2"/>
                <w:szCs w:val="24"/>
                <w:lang w:val="en-US" w:eastAsia="ru-RU"/>
              </w:rPr>
            </w:pPr>
            <w:r>
              <w:rPr>
                <w:rFonts w:eastAsia="MS Mincho"/>
                <w:b/>
                <w:bCs/>
                <w:spacing w:val="-2"/>
                <w:szCs w:val="24"/>
                <w:lang w:val="en-US" w:eastAsia="ru-RU"/>
              </w:rPr>
              <w:t>02</w:t>
            </w:r>
            <w:r w:rsidRPr="00A479F0">
              <w:rPr>
                <w:rFonts w:eastAsia="MS Mincho"/>
                <w:b/>
                <w:bCs/>
                <w:spacing w:val="-2"/>
                <w:szCs w:val="24"/>
                <w:lang w:val="en-US" w:eastAsia="ru-RU"/>
              </w:rPr>
              <w:t>.</w:t>
            </w:r>
            <w:r>
              <w:rPr>
                <w:rFonts w:eastAsia="MS Mincho"/>
                <w:b/>
                <w:bCs/>
                <w:spacing w:val="-2"/>
                <w:szCs w:val="24"/>
                <w:lang w:val="en-US" w:eastAsia="ru-RU"/>
              </w:rPr>
              <w:t>12</w:t>
            </w:r>
            <w:r w:rsidRPr="00A479F0">
              <w:rPr>
                <w:rFonts w:eastAsia="MS Mincho"/>
                <w:b/>
                <w:bCs/>
                <w:spacing w:val="-2"/>
                <w:szCs w:val="24"/>
                <w:lang w:val="en-US" w:eastAsia="ru-RU"/>
              </w:rPr>
              <w:t xml:space="preserve">.2021 No. </w:t>
            </w:r>
            <w:r>
              <w:rPr>
                <w:rFonts w:eastAsia="MS Mincho"/>
                <w:b/>
                <w:bCs/>
                <w:spacing w:val="-2"/>
                <w:szCs w:val="24"/>
                <w:lang w:val="en-US" w:eastAsia="ru-RU"/>
              </w:rPr>
              <w:t>2690</w:t>
            </w:r>
          </w:p>
        </w:tc>
      </w:tr>
    </w:tbl>
    <w:p w14:paraId="26B9E41A" w14:textId="77777777" w:rsidR="0089749F" w:rsidRPr="0097507A" w:rsidRDefault="0089749F" w:rsidP="00224386">
      <w:pPr>
        <w:keepNext/>
        <w:spacing w:after="0" w:line="240" w:lineRule="auto"/>
        <w:ind w:left="-360"/>
        <w:jc w:val="center"/>
        <w:outlineLvl w:val="0"/>
        <w:rPr>
          <w:rFonts w:eastAsia="MS Mincho"/>
          <w:b/>
          <w:bCs/>
          <w:kern w:val="32"/>
          <w:szCs w:val="24"/>
          <w:lang w:eastAsia="ru-RU"/>
        </w:rPr>
      </w:pPr>
    </w:p>
    <w:p w14:paraId="44707071" w14:textId="77777777" w:rsidR="00A0799C" w:rsidRPr="00386806" w:rsidRDefault="00A0799C" w:rsidP="00224386">
      <w:pPr>
        <w:pStyle w:val="1"/>
        <w:rPr>
          <w:rFonts w:ascii="Times New Roman" w:hAnsi="Times New Roman" w:cs="Times New Roman"/>
          <w:sz w:val="24"/>
          <w:lang w:val="en-US"/>
        </w:rPr>
      </w:pPr>
      <w:r w:rsidRPr="00386806">
        <w:rPr>
          <w:rFonts w:ascii="Times New Roman" w:hAnsi="Times New Roman" w:cs="Times New Roman"/>
          <w:sz w:val="24"/>
          <w:lang w:val="en-US"/>
        </w:rPr>
        <w:t>INSTRUCTION</w:t>
      </w:r>
    </w:p>
    <w:p w14:paraId="28968554" w14:textId="77777777" w:rsidR="00A0799C" w:rsidRPr="00386806" w:rsidRDefault="00A0799C" w:rsidP="00224386">
      <w:pPr>
        <w:spacing w:after="0" w:line="240" w:lineRule="auto"/>
        <w:jc w:val="center"/>
        <w:rPr>
          <w:b/>
          <w:bCs/>
          <w:lang w:val="en-US"/>
        </w:rPr>
      </w:pPr>
      <w:r w:rsidRPr="00386806">
        <w:rPr>
          <w:b/>
          <w:lang w:val="en-US"/>
        </w:rPr>
        <w:t>for medical use</w:t>
      </w:r>
    </w:p>
    <w:p w14:paraId="3185BF08" w14:textId="77777777" w:rsidR="0089749F" w:rsidRPr="00A0799C" w:rsidRDefault="0089749F" w:rsidP="00224386">
      <w:pPr>
        <w:shd w:val="clear" w:color="auto" w:fill="FFFFFF"/>
        <w:spacing w:after="0" w:line="240" w:lineRule="auto"/>
        <w:jc w:val="center"/>
        <w:rPr>
          <w:rFonts w:eastAsia="MS Mincho"/>
          <w:b/>
          <w:bCs/>
          <w:szCs w:val="24"/>
          <w:lang w:val="en-US" w:eastAsia="ru-RU"/>
        </w:rPr>
      </w:pPr>
      <w:r w:rsidRPr="00A479F0">
        <w:rPr>
          <w:rFonts w:eastAsia="MS Mincho"/>
          <w:b/>
          <w:bCs/>
          <w:szCs w:val="24"/>
          <w:lang w:val="en-US" w:eastAsia="ru-RU"/>
        </w:rPr>
        <w:t>PHORCAL</w:t>
      </w:r>
      <w:r w:rsidRPr="00A479F0">
        <w:rPr>
          <w:rFonts w:eastAsia="MS Mincho"/>
          <w:b/>
          <w:bCs/>
          <w:szCs w:val="24"/>
          <w:vertAlign w:val="superscript"/>
          <w:lang w:val="en-US" w:eastAsia="ru-RU"/>
        </w:rPr>
        <w:t>®</w:t>
      </w:r>
    </w:p>
    <w:p w14:paraId="72FE75BD" w14:textId="77777777" w:rsidR="00A0799C" w:rsidRPr="00A0799C" w:rsidRDefault="00A0799C" w:rsidP="00224386">
      <w:pPr>
        <w:spacing w:after="0" w:line="240" w:lineRule="auto"/>
        <w:rPr>
          <w:b/>
          <w:i/>
          <w:szCs w:val="24"/>
          <w:lang w:val="en-US"/>
        </w:rPr>
      </w:pPr>
      <w:r w:rsidRPr="00A0799C">
        <w:rPr>
          <w:b/>
          <w:i/>
          <w:szCs w:val="24"/>
          <w:lang w:val="en-US"/>
        </w:rPr>
        <w:t>Composition:</w:t>
      </w:r>
    </w:p>
    <w:p w14:paraId="26F7B9B7" w14:textId="77777777" w:rsidR="00A0799C" w:rsidRPr="00346638" w:rsidRDefault="00A0799C" w:rsidP="00224386">
      <w:pPr>
        <w:spacing w:after="0" w:line="240" w:lineRule="auto"/>
        <w:rPr>
          <w:szCs w:val="24"/>
          <w:lang w:val="en-US"/>
        </w:rPr>
      </w:pPr>
      <w:r w:rsidRPr="00A0799C">
        <w:rPr>
          <w:i/>
          <w:szCs w:val="24"/>
          <w:lang w:val="en-US"/>
        </w:rPr>
        <w:t>active substance:</w:t>
      </w:r>
      <w:r>
        <w:rPr>
          <w:szCs w:val="24"/>
          <w:lang w:val="en-US"/>
        </w:rPr>
        <w:t xml:space="preserve"> calcitriol;</w:t>
      </w:r>
    </w:p>
    <w:p w14:paraId="089C643F" w14:textId="77777777" w:rsidR="00A0799C" w:rsidRPr="00346638" w:rsidRDefault="00A0799C" w:rsidP="00224386">
      <w:pPr>
        <w:spacing w:after="0" w:line="240" w:lineRule="auto"/>
        <w:rPr>
          <w:szCs w:val="24"/>
          <w:lang w:val="en-US"/>
        </w:rPr>
      </w:pPr>
      <w:r w:rsidRPr="00346638">
        <w:rPr>
          <w:szCs w:val="24"/>
          <w:lang w:val="en-US"/>
        </w:rPr>
        <w:t>1 g of ointment contains 3 µg of</w:t>
      </w:r>
      <w:r>
        <w:rPr>
          <w:szCs w:val="24"/>
          <w:lang w:val="en-US"/>
        </w:rPr>
        <w:t xml:space="preserve"> </w:t>
      </w:r>
      <w:r w:rsidRPr="00346638">
        <w:rPr>
          <w:szCs w:val="24"/>
          <w:lang w:val="en-US"/>
        </w:rPr>
        <w:t>calcitriol;</w:t>
      </w:r>
    </w:p>
    <w:p w14:paraId="72BE724A" w14:textId="62EB1872" w:rsidR="00A0799C" w:rsidRDefault="00A0799C" w:rsidP="00224386">
      <w:pPr>
        <w:spacing w:after="0" w:line="240" w:lineRule="auto"/>
        <w:rPr>
          <w:szCs w:val="24"/>
          <w:lang w:val="en-US"/>
        </w:rPr>
      </w:pPr>
      <w:r w:rsidRPr="00A0799C">
        <w:rPr>
          <w:i/>
          <w:szCs w:val="24"/>
          <w:lang w:val="en-US"/>
        </w:rPr>
        <w:t>excipients:</w:t>
      </w:r>
      <w:r>
        <w:rPr>
          <w:szCs w:val="24"/>
          <w:lang w:val="en-US"/>
        </w:rPr>
        <w:t xml:space="preserve"> </w:t>
      </w:r>
      <w:r w:rsidRPr="00346638">
        <w:rPr>
          <w:szCs w:val="24"/>
          <w:lang w:val="en-US"/>
        </w:rPr>
        <w:t>white soft paraffin,  mineral oil light, alpha-Tocopherol.</w:t>
      </w:r>
    </w:p>
    <w:p w14:paraId="0F3383F0" w14:textId="77777777" w:rsidR="00A0799C" w:rsidRPr="00346638" w:rsidRDefault="00A0799C" w:rsidP="00224386">
      <w:pPr>
        <w:spacing w:after="0" w:line="240" w:lineRule="auto"/>
        <w:rPr>
          <w:szCs w:val="24"/>
          <w:lang w:val="en-US"/>
        </w:rPr>
      </w:pPr>
    </w:p>
    <w:p w14:paraId="465935D3" w14:textId="77777777" w:rsidR="00A0799C" w:rsidRDefault="00A0799C" w:rsidP="00224386">
      <w:pPr>
        <w:spacing w:after="0" w:line="240" w:lineRule="auto"/>
        <w:rPr>
          <w:szCs w:val="24"/>
          <w:lang w:val="en-US"/>
        </w:rPr>
      </w:pPr>
      <w:r w:rsidRPr="00A0799C">
        <w:rPr>
          <w:b/>
          <w:szCs w:val="24"/>
          <w:lang w:val="en-US"/>
        </w:rPr>
        <w:t>Pharmaceutical form.</w:t>
      </w:r>
      <w:r>
        <w:rPr>
          <w:szCs w:val="24"/>
          <w:lang w:val="en-US"/>
        </w:rPr>
        <w:t xml:space="preserve"> </w:t>
      </w:r>
      <w:r w:rsidRPr="00346638">
        <w:rPr>
          <w:szCs w:val="24"/>
          <w:lang w:val="en-US"/>
        </w:rPr>
        <w:t>Ointment.</w:t>
      </w:r>
      <w:r>
        <w:rPr>
          <w:szCs w:val="24"/>
          <w:lang w:val="en-US"/>
        </w:rPr>
        <w:t xml:space="preserve"> </w:t>
      </w:r>
    </w:p>
    <w:p w14:paraId="6772BCDC" w14:textId="77777777" w:rsidR="00A0799C" w:rsidRDefault="00A0799C" w:rsidP="00224386">
      <w:pPr>
        <w:spacing w:after="0"/>
        <w:rPr>
          <w:szCs w:val="24"/>
          <w:lang w:val="en-US"/>
        </w:rPr>
      </w:pPr>
      <w:r w:rsidRPr="00A0799C">
        <w:rPr>
          <w:i/>
          <w:szCs w:val="24"/>
          <w:lang w:val="en-US"/>
        </w:rPr>
        <w:t>Basic physical and chemical properties:</w:t>
      </w:r>
      <w:r>
        <w:rPr>
          <w:szCs w:val="24"/>
          <w:lang w:val="en-US"/>
        </w:rPr>
        <w:t xml:space="preserve"> </w:t>
      </w:r>
      <w:r w:rsidRPr="00346638">
        <w:rPr>
          <w:szCs w:val="24"/>
          <w:lang w:val="en-US"/>
        </w:rPr>
        <w:t>white or</w:t>
      </w:r>
      <w:r>
        <w:rPr>
          <w:szCs w:val="24"/>
          <w:lang w:val="en-US"/>
        </w:rPr>
        <w:t xml:space="preserve"> almost white uniform ointment.</w:t>
      </w:r>
    </w:p>
    <w:p w14:paraId="37C442A0" w14:textId="77777777" w:rsidR="00A0799C" w:rsidRDefault="00A0799C" w:rsidP="00224386">
      <w:pPr>
        <w:spacing w:after="0"/>
        <w:rPr>
          <w:szCs w:val="24"/>
          <w:lang w:val="en-US"/>
        </w:rPr>
      </w:pPr>
    </w:p>
    <w:p w14:paraId="7F3CD3E1" w14:textId="77777777" w:rsidR="00A0799C" w:rsidRPr="00A0799C" w:rsidRDefault="00A0799C" w:rsidP="00224386">
      <w:pPr>
        <w:spacing w:after="0"/>
        <w:rPr>
          <w:b/>
          <w:szCs w:val="24"/>
          <w:lang w:val="en-US"/>
        </w:rPr>
      </w:pPr>
      <w:r w:rsidRPr="00A0799C">
        <w:rPr>
          <w:b/>
          <w:szCs w:val="24"/>
          <w:lang w:val="en-US"/>
        </w:rPr>
        <w:t>Pharmacotherapeutic group.</w:t>
      </w:r>
    </w:p>
    <w:p w14:paraId="5B99642F" w14:textId="77777777" w:rsidR="00A0799C" w:rsidRDefault="00A0799C" w:rsidP="00224386">
      <w:pPr>
        <w:spacing w:after="0"/>
        <w:rPr>
          <w:szCs w:val="24"/>
          <w:lang w:val="en-US"/>
        </w:rPr>
      </w:pPr>
      <w:proofErr w:type="spellStart"/>
      <w:r w:rsidRPr="00346638">
        <w:rPr>
          <w:szCs w:val="24"/>
          <w:lang w:val="en-US"/>
        </w:rPr>
        <w:t>Antipsoriatic</w:t>
      </w:r>
      <w:proofErr w:type="spellEnd"/>
      <w:r w:rsidRPr="00346638">
        <w:rPr>
          <w:szCs w:val="24"/>
          <w:lang w:val="en-US"/>
        </w:rPr>
        <w:t xml:space="preserve"> drugs fo</w:t>
      </w:r>
      <w:r>
        <w:rPr>
          <w:szCs w:val="24"/>
          <w:lang w:val="en-US"/>
        </w:rPr>
        <w:t>r local use. АТС code D05A X03.</w:t>
      </w:r>
    </w:p>
    <w:p w14:paraId="26A54C3F" w14:textId="77777777" w:rsidR="00A0799C" w:rsidRPr="00346638" w:rsidRDefault="00A0799C" w:rsidP="00224386">
      <w:pPr>
        <w:spacing w:after="0"/>
        <w:rPr>
          <w:szCs w:val="24"/>
          <w:lang w:val="en-US"/>
        </w:rPr>
      </w:pPr>
    </w:p>
    <w:p w14:paraId="2E6AD951" w14:textId="77777777" w:rsidR="00A0799C" w:rsidRPr="00A0799C" w:rsidRDefault="00A0799C" w:rsidP="00224386">
      <w:pPr>
        <w:spacing w:after="0"/>
        <w:rPr>
          <w:b/>
          <w:i/>
          <w:szCs w:val="24"/>
          <w:lang w:val="en-US"/>
        </w:rPr>
      </w:pPr>
      <w:r w:rsidRPr="00A0799C">
        <w:rPr>
          <w:b/>
          <w:i/>
          <w:szCs w:val="24"/>
          <w:lang w:val="en-US"/>
        </w:rPr>
        <w:t>Pharmacological properties.</w:t>
      </w:r>
    </w:p>
    <w:p w14:paraId="541FB664" w14:textId="77777777" w:rsidR="00A0799C" w:rsidRPr="00A0799C" w:rsidRDefault="00A0799C" w:rsidP="00224386">
      <w:pPr>
        <w:spacing w:after="0"/>
        <w:rPr>
          <w:i/>
          <w:szCs w:val="24"/>
          <w:lang w:val="en-US"/>
        </w:rPr>
      </w:pPr>
      <w:r w:rsidRPr="00A0799C">
        <w:rPr>
          <w:i/>
          <w:szCs w:val="24"/>
          <w:lang w:val="en-US"/>
        </w:rPr>
        <w:t>Pharmacodynamics.</w:t>
      </w:r>
    </w:p>
    <w:p w14:paraId="5FA4FC7C" w14:textId="77777777" w:rsidR="00A0799C" w:rsidRPr="00A0799C" w:rsidRDefault="00A0799C" w:rsidP="00224386">
      <w:pPr>
        <w:spacing w:after="0"/>
        <w:rPr>
          <w:szCs w:val="24"/>
          <w:u w:val="single"/>
          <w:lang w:val="en-US"/>
        </w:rPr>
      </w:pPr>
      <w:r w:rsidRPr="00A0799C">
        <w:rPr>
          <w:szCs w:val="24"/>
          <w:u w:val="single"/>
          <w:lang w:val="en-US"/>
        </w:rPr>
        <w:t>Mechanism of action.</w:t>
      </w:r>
    </w:p>
    <w:p w14:paraId="5776F8F0" w14:textId="77777777" w:rsidR="00A0799C" w:rsidRPr="00A0799C" w:rsidRDefault="00A0799C" w:rsidP="00224386">
      <w:pPr>
        <w:spacing w:after="0"/>
        <w:rPr>
          <w:szCs w:val="24"/>
          <w:lang w:val="en-US"/>
        </w:rPr>
      </w:pPr>
      <w:r w:rsidRPr="00A0799C">
        <w:rPr>
          <w:szCs w:val="24"/>
          <w:lang w:val="en-US"/>
        </w:rPr>
        <w:t>Calcitriol inhibits proliferation and stimulates keratinocyte differentiation.</w:t>
      </w:r>
    </w:p>
    <w:p w14:paraId="0A38EB81" w14:textId="77777777" w:rsidR="00A0799C" w:rsidRDefault="00A0799C" w:rsidP="00224386">
      <w:pPr>
        <w:spacing w:after="0"/>
        <w:rPr>
          <w:szCs w:val="24"/>
          <w:lang w:val="en-US"/>
        </w:rPr>
      </w:pPr>
      <w:r w:rsidRPr="00A0799C">
        <w:rPr>
          <w:szCs w:val="24"/>
          <w:lang w:val="en-US"/>
        </w:rPr>
        <w:t>Also calcitriol reduces adhesion and accelerates the exfoliation of horny cells. Calcitriol inhibits the proliferation of T-lymphocytes and normalizes the production of various factors of the inflammatory process.</w:t>
      </w:r>
    </w:p>
    <w:p w14:paraId="44AF5EF2" w14:textId="77777777" w:rsidR="0056669C" w:rsidRDefault="0056669C" w:rsidP="00224386">
      <w:pPr>
        <w:spacing w:after="0"/>
        <w:rPr>
          <w:szCs w:val="24"/>
          <w:lang w:val="en-US"/>
        </w:rPr>
      </w:pPr>
    </w:p>
    <w:p w14:paraId="16DA54C4" w14:textId="77777777" w:rsidR="0056669C" w:rsidRPr="0056669C" w:rsidRDefault="0056669C" w:rsidP="00224386">
      <w:pPr>
        <w:spacing w:after="0"/>
        <w:rPr>
          <w:i/>
          <w:szCs w:val="24"/>
          <w:lang w:val="en-US"/>
        </w:rPr>
      </w:pPr>
      <w:r w:rsidRPr="0056669C">
        <w:rPr>
          <w:i/>
          <w:szCs w:val="24"/>
          <w:lang w:val="en-US"/>
        </w:rPr>
        <w:t>Pharmacokinetics.</w:t>
      </w:r>
    </w:p>
    <w:p w14:paraId="50F2976D" w14:textId="77777777" w:rsidR="0056669C" w:rsidRPr="0056669C" w:rsidRDefault="0056669C" w:rsidP="00224386">
      <w:pPr>
        <w:spacing w:after="0"/>
        <w:rPr>
          <w:szCs w:val="24"/>
          <w:u w:val="single"/>
          <w:lang w:val="en-US"/>
        </w:rPr>
      </w:pPr>
      <w:r w:rsidRPr="0056669C">
        <w:rPr>
          <w:szCs w:val="24"/>
          <w:u w:val="single"/>
          <w:lang w:val="en-US"/>
        </w:rPr>
        <w:t>Absorption.</w:t>
      </w:r>
    </w:p>
    <w:p w14:paraId="05A82198" w14:textId="77777777" w:rsidR="0056669C" w:rsidRPr="0056669C" w:rsidRDefault="0056669C" w:rsidP="00224386">
      <w:pPr>
        <w:spacing w:after="0"/>
        <w:rPr>
          <w:szCs w:val="24"/>
          <w:lang w:val="en-US"/>
        </w:rPr>
      </w:pPr>
      <w:r w:rsidRPr="00346638">
        <w:rPr>
          <w:szCs w:val="24"/>
          <w:lang w:val="en-US"/>
        </w:rPr>
        <w:t>When applying locally</w:t>
      </w:r>
      <w:r w:rsidRPr="0056669C">
        <w:rPr>
          <w:szCs w:val="24"/>
          <w:lang w:val="en-US"/>
        </w:rPr>
        <w:t>, the absorption of calcitriol is approximately 10%.</w:t>
      </w:r>
    </w:p>
    <w:p w14:paraId="1E1D7466" w14:textId="77777777" w:rsidR="0056669C" w:rsidRDefault="0056669C" w:rsidP="00224386">
      <w:pPr>
        <w:spacing w:after="0"/>
        <w:rPr>
          <w:szCs w:val="24"/>
          <w:lang w:val="en-US"/>
        </w:rPr>
      </w:pPr>
      <w:r w:rsidRPr="0056669C">
        <w:rPr>
          <w:szCs w:val="24"/>
          <w:lang w:val="en-US"/>
        </w:rPr>
        <w:t>After absorption</w:t>
      </w:r>
      <w:r>
        <w:rPr>
          <w:szCs w:val="24"/>
          <w:lang w:val="en-US"/>
        </w:rPr>
        <w:t>,</w:t>
      </w:r>
      <w:r w:rsidRPr="0056669C">
        <w:rPr>
          <w:szCs w:val="24"/>
          <w:lang w:val="en-US"/>
        </w:rPr>
        <w:t xml:space="preserve"> both calcitriol in unchanged form and its metabolites are detected in the blood plasma. The effect of metabolites on calcium homeostasis is insignificant. In most patients, circulating levels of exogenous calcitriol are below detection levels (2 </w:t>
      </w:r>
      <w:proofErr w:type="spellStart"/>
      <w:r w:rsidRPr="0056669C">
        <w:rPr>
          <w:szCs w:val="24"/>
          <w:lang w:val="en-US"/>
        </w:rPr>
        <w:t>μg</w:t>
      </w:r>
      <w:proofErr w:type="spellEnd"/>
      <w:r w:rsidRPr="0056669C">
        <w:rPr>
          <w:szCs w:val="24"/>
          <w:lang w:val="en-US"/>
        </w:rPr>
        <w:t>/ml).</w:t>
      </w:r>
    </w:p>
    <w:p w14:paraId="6B073F06" w14:textId="77777777" w:rsidR="00781642" w:rsidRDefault="00781642" w:rsidP="00224386">
      <w:pPr>
        <w:spacing w:after="0"/>
        <w:rPr>
          <w:szCs w:val="24"/>
          <w:lang w:val="en-US"/>
        </w:rPr>
      </w:pPr>
    </w:p>
    <w:p w14:paraId="1009BE72" w14:textId="77777777" w:rsidR="00781642" w:rsidRPr="00781642" w:rsidRDefault="00781642" w:rsidP="00224386">
      <w:pPr>
        <w:spacing w:after="0"/>
        <w:rPr>
          <w:i/>
          <w:szCs w:val="24"/>
          <w:lang w:val="en-US"/>
        </w:rPr>
      </w:pPr>
      <w:r w:rsidRPr="00781642">
        <w:rPr>
          <w:i/>
          <w:szCs w:val="24"/>
          <w:lang w:val="en-US"/>
        </w:rPr>
        <w:t>Distribution.</w:t>
      </w:r>
    </w:p>
    <w:p w14:paraId="60DBD93A" w14:textId="77777777" w:rsidR="00781642" w:rsidRPr="00781642" w:rsidRDefault="00781642" w:rsidP="00224386">
      <w:pPr>
        <w:spacing w:after="0"/>
        <w:rPr>
          <w:szCs w:val="24"/>
          <w:lang w:val="en-US"/>
        </w:rPr>
      </w:pPr>
      <w:r w:rsidRPr="00781642">
        <w:rPr>
          <w:szCs w:val="24"/>
          <w:lang w:val="en-US"/>
        </w:rPr>
        <w:t>In clinical trials, there was no significant increase in plasma levels of calcitriol after treatment of a significant body surface area of up to 6000 cm</w:t>
      </w:r>
      <w:r w:rsidRPr="00781642">
        <w:rPr>
          <w:szCs w:val="24"/>
          <w:vertAlign w:val="superscript"/>
          <w:lang w:val="en-US"/>
        </w:rPr>
        <w:t>2</w:t>
      </w:r>
      <w:r w:rsidRPr="00781642">
        <w:rPr>
          <w:szCs w:val="24"/>
          <w:lang w:val="en-US"/>
        </w:rPr>
        <w:t xml:space="preserve"> (35% of the skin surface).</w:t>
      </w:r>
    </w:p>
    <w:p w14:paraId="6D2980A7" w14:textId="77777777" w:rsidR="0056669C" w:rsidRPr="00781642" w:rsidRDefault="0056669C" w:rsidP="00224386">
      <w:pPr>
        <w:spacing w:after="0" w:line="240" w:lineRule="auto"/>
        <w:rPr>
          <w:szCs w:val="24"/>
          <w:lang w:val="en-US"/>
        </w:rPr>
      </w:pPr>
    </w:p>
    <w:p w14:paraId="6C3966CC" w14:textId="77777777" w:rsidR="00781642" w:rsidRPr="00781642" w:rsidRDefault="00781642" w:rsidP="00224386">
      <w:pPr>
        <w:spacing w:after="0" w:line="240" w:lineRule="auto"/>
        <w:rPr>
          <w:rFonts w:eastAsia="MS Mincho"/>
          <w:b/>
          <w:i/>
          <w:color w:val="000000"/>
          <w:spacing w:val="-1"/>
          <w:szCs w:val="24"/>
          <w:lang w:val="en-US" w:eastAsia="ru-RU"/>
        </w:rPr>
      </w:pPr>
      <w:r w:rsidRPr="00781642">
        <w:rPr>
          <w:rFonts w:eastAsia="MS Mincho"/>
          <w:b/>
          <w:i/>
          <w:color w:val="000000"/>
          <w:spacing w:val="-1"/>
          <w:szCs w:val="24"/>
          <w:lang w:val="en-US" w:eastAsia="ru-RU"/>
        </w:rPr>
        <w:t>Indications.</w:t>
      </w:r>
    </w:p>
    <w:p w14:paraId="7129A21B" w14:textId="77777777" w:rsidR="00167544" w:rsidRDefault="00781642" w:rsidP="00224386">
      <w:pPr>
        <w:spacing w:after="0" w:line="240" w:lineRule="auto"/>
        <w:rPr>
          <w:rFonts w:eastAsia="MS Mincho"/>
          <w:color w:val="000000"/>
          <w:spacing w:val="-1"/>
          <w:szCs w:val="24"/>
          <w:lang w:val="en-US" w:eastAsia="ru-RU"/>
        </w:rPr>
      </w:pPr>
      <w:r>
        <w:rPr>
          <w:rFonts w:eastAsia="MS Mincho"/>
          <w:color w:val="000000"/>
          <w:spacing w:val="-1"/>
          <w:szCs w:val="24"/>
          <w:lang w:val="en-US" w:eastAsia="ru-RU"/>
        </w:rPr>
        <w:t xml:space="preserve">Plaque </w:t>
      </w:r>
      <w:r w:rsidRPr="00781642">
        <w:rPr>
          <w:rFonts w:eastAsia="MS Mincho"/>
          <w:color w:val="000000"/>
          <w:spacing w:val="-1"/>
          <w:szCs w:val="24"/>
          <w:lang w:val="en-US" w:eastAsia="ru-RU"/>
        </w:rPr>
        <w:t xml:space="preserve">psoriasis of mild and moderate severity (local treatment of skin manifestations) with lesion up to 35% of </w:t>
      </w:r>
      <w:r>
        <w:rPr>
          <w:rFonts w:eastAsia="MS Mincho"/>
          <w:color w:val="000000"/>
          <w:spacing w:val="-1"/>
          <w:szCs w:val="24"/>
          <w:lang w:val="en-US" w:eastAsia="ru-RU"/>
        </w:rPr>
        <w:t>the skin surface</w:t>
      </w:r>
      <w:r w:rsidRPr="00781642">
        <w:rPr>
          <w:rFonts w:eastAsia="MS Mincho"/>
          <w:color w:val="000000"/>
          <w:spacing w:val="-1"/>
          <w:szCs w:val="24"/>
          <w:lang w:val="en-US" w:eastAsia="ru-RU"/>
        </w:rPr>
        <w:t>.</w:t>
      </w:r>
    </w:p>
    <w:p w14:paraId="653CEBB4" w14:textId="77777777" w:rsidR="00781642" w:rsidRDefault="00781642" w:rsidP="00224386">
      <w:pPr>
        <w:spacing w:after="0" w:line="240" w:lineRule="auto"/>
        <w:rPr>
          <w:rFonts w:eastAsia="MS Mincho"/>
          <w:color w:val="000000"/>
          <w:spacing w:val="-1"/>
          <w:szCs w:val="24"/>
          <w:lang w:val="en-US" w:eastAsia="ru-RU"/>
        </w:rPr>
      </w:pPr>
    </w:p>
    <w:p w14:paraId="6D2B4901" w14:textId="77777777" w:rsidR="00781642" w:rsidRPr="00781642" w:rsidRDefault="00781642" w:rsidP="00224386">
      <w:pPr>
        <w:spacing w:after="0" w:line="240" w:lineRule="auto"/>
        <w:rPr>
          <w:rFonts w:eastAsia="MS Mincho"/>
          <w:b/>
          <w:i/>
          <w:color w:val="000000"/>
          <w:spacing w:val="-1"/>
          <w:szCs w:val="24"/>
          <w:lang w:val="en-US" w:eastAsia="ru-RU"/>
        </w:rPr>
      </w:pPr>
      <w:r w:rsidRPr="00781642">
        <w:rPr>
          <w:rFonts w:eastAsia="MS Mincho"/>
          <w:b/>
          <w:i/>
          <w:color w:val="000000"/>
          <w:spacing w:val="-1"/>
          <w:szCs w:val="24"/>
          <w:lang w:val="en-US" w:eastAsia="ru-RU"/>
        </w:rPr>
        <w:t>Contraindications.</w:t>
      </w:r>
    </w:p>
    <w:p w14:paraId="309CABCB" w14:textId="77777777" w:rsidR="00781642" w:rsidRDefault="00781642" w:rsidP="00224386">
      <w:pPr>
        <w:spacing w:after="0"/>
        <w:rPr>
          <w:rFonts w:eastAsia="MS Mincho"/>
          <w:color w:val="000000"/>
          <w:spacing w:val="-1"/>
          <w:szCs w:val="24"/>
          <w:lang w:val="en-US" w:eastAsia="ru-RU"/>
        </w:rPr>
      </w:pPr>
      <w:r>
        <w:rPr>
          <w:szCs w:val="24"/>
          <w:lang w:val="en-US"/>
        </w:rPr>
        <w:lastRenderedPageBreak/>
        <w:t xml:space="preserve">- </w:t>
      </w:r>
      <w:r w:rsidRPr="00781642">
        <w:rPr>
          <w:rFonts w:eastAsia="MS Mincho"/>
          <w:color w:val="000000"/>
          <w:spacing w:val="-1"/>
          <w:szCs w:val="24"/>
          <w:lang w:val="en-US" w:eastAsia="ru-RU"/>
        </w:rPr>
        <w:t>Hypersensitivity to the active substance or to any of the drug components</w:t>
      </w:r>
      <w:r>
        <w:rPr>
          <w:rFonts w:eastAsia="MS Mincho"/>
          <w:color w:val="000000"/>
          <w:spacing w:val="-1"/>
          <w:szCs w:val="24"/>
          <w:lang w:val="en-US" w:eastAsia="ru-RU"/>
        </w:rPr>
        <w:t>;</w:t>
      </w:r>
    </w:p>
    <w:p w14:paraId="05774B1D" w14:textId="77777777" w:rsidR="00224386" w:rsidRDefault="00781642" w:rsidP="00224386">
      <w:pPr>
        <w:spacing w:after="0"/>
        <w:rPr>
          <w:szCs w:val="24"/>
          <w:lang w:val="en-US"/>
        </w:rPr>
      </w:pPr>
      <w:r>
        <w:rPr>
          <w:szCs w:val="24"/>
          <w:lang w:val="en-US"/>
        </w:rPr>
        <w:t xml:space="preserve">- </w:t>
      </w:r>
      <w:proofErr w:type="spellStart"/>
      <w:r>
        <w:rPr>
          <w:szCs w:val="24"/>
          <w:lang w:val="en-US"/>
        </w:rPr>
        <w:t>h</w:t>
      </w:r>
      <w:r w:rsidRPr="00346638">
        <w:rPr>
          <w:szCs w:val="24"/>
          <w:lang w:val="en-US"/>
        </w:rPr>
        <w:t>ypercalcaemia</w:t>
      </w:r>
      <w:proofErr w:type="spellEnd"/>
      <w:r w:rsidRPr="00346638">
        <w:rPr>
          <w:szCs w:val="24"/>
          <w:lang w:val="en-US"/>
        </w:rPr>
        <w:t xml:space="preserve"> and other pathological conditions characterized by calcium dysmetabolism;</w:t>
      </w:r>
    </w:p>
    <w:p w14:paraId="4C894C22" w14:textId="77777777" w:rsidR="00224386" w:rsidRDefault="00224386" w:rsidP="00224386">
      <w:pPr>
        <w:spacing w:after="0"/>
        <w:rPr>
          <w:szCs w:val="24"/>
          <w:lang w:val="en-US"/>
        </w:rPr>
      </w:pPr>
      <w:r>
        <w:rPr>
          <w:szCs w:val="24"/>
          <w:lang w:val="en-US"/>
        </w:rPr>
        <w:t>-</w:t>
      </w:r>
      <w:r w:rsidR="00781642" w:rsidRPr="00346638">
        <w:rPr>
          <w:szCs w:val="24"/>
          <w:lang w:val="en-US"/>
        </w:rPr>
        <w:t xml:space="preserve"> systemic therapy of calcium homeostasis</w:t>
      </w:r>
      <w:r>
        <w:rPr>
          <w:szCs w:val="24"/>
          <w:lang w:val="en-US"/>
        </w:rPr>
        <w:t>;</w:t>
      </w:r>
    </w:p>
    <w:p w14:paraId="4A3AA1D2" w14:textId="77777777" w:rsidR="00781642" w:rsidRDefault="00224386" w:rsidP="00224386">
      <w:pPr>
        <w:spacing w:after="0"/>
        <w:rPr>
          <w:szCs w:val="24"/>
          <w:lang w:val="en-US"/>
        </w:rPr>
      </w:pPr>
      <w:r>
        <w:rPr>
          <w:szCs w:val="24"/>
          <w:lang w:val="en-US"/>
        </w:rPr>
        <w:t>-</w:t>
      </w:r>
      <w:r w:rsidR="00781642" w:rsidRPr="00346638">
        <w:rPr>
          <w:szCs w:val="24"/>
          <w:lang w:val="en-US"/>
        </w:rPr>
        <w:t xml:space="preserve"> </w:t>
      </w:r>
      <w:r>
        <w:rPr>
          <w:szCs w:val="24"/>
          <w:lang w:val="en-US"/>
        </w:rPr>
        <w:t>liver and kidney dysfunction.</w:t>
      </w:r>
    </w:p>
    <w:p w14:paraId="465EDD97" w14:textId="77777777" w:rsidR="00224386" w:rsidRDefault="00224386" w:rsidP="00224386">
      <w:pPr>
        <w:spacing w:after="0"/>
        <w:rPr>
          <w:szCs w:val="24"/>
          <w:lang w:val="en-US"/>
        </w:rPr>
      </w:pPr>
    </w:p>
    <w:p w14:paraId="4067BDB3" w14:textId="77777777" w:rsidR="00224386" w:rsidRPr="00224386" w:rsidRDefault="00224386" w:rsidP="00224386">
      <w:pPr>
        <w:spacing w:after="0"/>
        <w:rPr>
          <w:b/>
          <w:i/>
          <w:szCs w:val="24"/>
          <w:lang w:val="en-US"/>
        </w:rPr>
      </w:pPr>
      <w:r w:rsidRPr="00224386">
        <w:rPr>
          <w:b/>
          <w:i/>
          <w:szCs w:val="24"/>
          <w:lang w:val="en-US"/>
        </w:rPr>
        <w:t>Drug interactions and other kinds of interactions.</w:t>
      </w:r>
    </w:p>
    <w:p w14:paraId="66E55FAE" w14:textId="77777777" w:rsidR="00224386" w:rsidRPr="00346638" w:rsidRDefault="00224386" w:rsidP="00224386">
      <w:pPr>
        <w:spacing w:after="0"/>
        <w:rPr>
          <w:szCs w:val="24"/>
          <w:lang w:val="en-US"/>
        </w:rPr>
      </w:pPr>
      <w:r w:rsidRPr="00346638">
        <w:rPr>
          <w:szCs w:val="24"/>
          <w:lang w:val="en-US"/>
        </w:rPr>
        <w:t>Synchronous usage of calcitriol with betamethasone has shown higher efficacy of this combination f</w:t>
      </w:r>
      <w:r>
        <w:rPr>
          <w:szCs w:val="24"/>
          <w:lang w:val="en-US"/>
        </w:rPr>
        <w:t>or local treatment of psoriasis</w:t>
      </w:r>
      <w:r w:rsidRPr="00346638">
        <w:rPr>
          <w:szCs w:val="24"/>
          <w:lang w:val="en-US"/>
        </w:rPr>
        <w:t xml:space="preserve"> than separate usage of these drugs.</w:t>
      </w:r>
    </w:p>
    <w:p w14:paraId="08948662" w14:textId="77777777" w:rsidR="00224386" w:rsidRPr="00346638" w:rsidRDefault="00224386" w:rsidP="00224386">
      <w:pPr>
        <w:spacing w:after="0"/>
        <w:rPr>
          <w:szCs w:val="24"/>
          <w:lang w:val="en-US"/>
        </w:rPr>
      </w:pPr>
      <w:r w:rsidRPr="00346638">
        <w:rPr>
          <w:szCs w:val="24"/>
          <w:lang w:val="en-US"/>
        </w:rPr>
        <w:t xml:space="preserve">Prescription of </w:t>
      </w:r>
      <w:proofErr w:type="spellStart"/>
      <w:r w:rsidRPr="00346638">
        <w:rPr>
          <w:szCs w:val="24"/>
          <w:lang w:val="en-US"/>
        </w:rPr>
        <w:t>Phorcal</w:t>
      </w:r>
      <w:proofErr w:type="spellEnd"/>
      <w:r w:rsidRPr="00224386">
        <w:rPr>
          <w:szCs w:val="24"/>
          <w:vertAlign w:val="superscript"/>
          <w:lang w:val="en-US"/>
        </w:rPr>
        <w:t>®</w:t>
      </w:r>
      <w:r>
        <w:rPr>
          <w:szCs w:val="24"/>
          <w:lang w:val="en-US"/>
        </w:rPr>
        <w:t xml:space="preserve"> </w:t>
      </w:r>
      <w:r w:rsidRPr="00346638">
        <w:rPr>
          <w:szCs w:val="24"/>
          <w:lang w:val="en-US"/>
        </w:rPr>
        <w:t>ointment in combination with UV irradiation has a faster therapeutic effect.</w:t>
      </w:r>
      <w:r>
        <w:rPr>
          <w:szCs w:val="24"/>
          <w:lang w:val="en-US"/>
        </w:rPr>
        <w:t xml:space="preserve"> </w:t>
      </w:r>
      <w:r w:rsidRPr="00346638">
        <w:rPr>
          <w:szCs w:val="24"/>
          <w:lang w:val="en-US"/>
        </w:rPr>
        <w:t xml:space="preserve">Thiazide diuretics increase the risk of </w:t>
      </w:r>
      <w:proofErr w:type="spellStart"/>
      <w:r w:rsidRPr="00346638">
        <w:rPr>
          <w:szCs w:val="24"/>
          <w:lang w:val="en-US"/>
        </w:rPr>
        <w:t>hypercalcaemia</w:t>
      </w:r>
      <w:proofErr w:type="spellEnd"/>
      <w:r w:rsidRPr="00346638">
        <w:rPr>
          <w:szCs w:val="24"/>
          <w:lang w:val="en-US"/>
        </w:rPr>
        <w:t>.</w:t>
      </w:r>
    </w:p>
    <w:p w14:paraId="44F40DDB" w14:textId="77777777" w:rsidR="00224386" w:rsidRDefault="00224386" w:rsidP="00224386">
      <w:pPr>
        <w:spacing w:after="0"/>
        <w:rPr>
          <w:szCs w:val="24"/>
          <w:lang w:val="en-US"/>
        </w:rPr>
      </w:pPr>
      <w:r w:rsidRPr="00346638">
        <w:rPr>
          <w:szCs w:val="24"/>
          <w:lang w:val="en-US"/>
        </w:rPr>
        <w:t xml:space="preserve">Caution should be exercised when using </w:t>
      </w:r>
      <w:proofErr w:type="spellStart"/>
      <w:r w:rsidRPr="00346638">
        <w:rPr>
          <w:szCs w:val="24"/>
          <w:lang w:val="en-US"/>
        </w:rPr>
        <w:t>Phorcal</w:t>
      </w:r>
      <w:proofErr w:type="spellEnd"/>
      <w:r w:rsidRPr="00224386">
        <w:rPr>
          <w:szCs w:val="24"/>
          <w:vertAlign w:val="superscript"/>
          <w:lang w:val="en-US"/>
        </w:rPr>
        <w:t>®</w:t>
      </w:r>
      <w:r>
        <w:rPr>
          <w:szCs w:val="24"/>
          <w:lang w:val="en-US"/>
        </w:rPr>
        <w:t xml:space="preserve"> </w:t>
      </w:r>
      <w:r w:rsidRPr="00346638">
        <w:rPr>
          <w:szCs w:val="24"/>
          <w:lang w:val="en-US"/>
        </w:rPr>
        <w:t xml:space="preserve">ointment synchronously with oral active metabolites of vitamin D (calcitriol, </w:t>
      </w:r>
      <w:proofErr w:type="spellStart"/>
      <w:r w:rsidRPr="00346638">
        <w:rPr>
          <w:szCs w:val="24"/>
          <w:lang w:val="en-US"/>
        </w:rPr>
        <w:t>alfacalcidol</w:t>
      </w:r>
      <w:proofErr w:type="spellEnd"/>
      <w:r w:rsidRPr="00346638">
        <w:rPr>
          <w:szCs w:val="24"/>
          <w:lang w:val="en-US"/>
        </w:rPr>
        <w:t xml:space="preserve">), high doses of vitamin D and preparations of calcium because of possible potential action and increasing of risk of development of </w:t>
      </w:r>
      <w:proofErr w:type="spellStart"/>
      <w:r w:rsidRPr="00346638">
        <w:rPr>
          <w:szCs w:val="24"/>
          <w:lang w:val="en-US"/>
        </w:rPr>
        <w:t>hypercalcaemia</w:t>
      </w:r>
      <w:proofErr w:type="spellEnd"/>
      <w:r w:rsidRPr="00346638">
        <w:rPr>
          <w:szCs w:val="24"/>
          <w:lang w:val="en-US"/>
        </w:rPr>
        <w:t>.</w:t>
      </w:r>
    </w:p>
    <w:p w14:paraId="61C4637F" w14:textId="77777777" w:rsidR="00224386" w:rsidRPr="00224386" w:rsidRDefault="00224386" w:rsidP="00224386">
      <w:pPr>
        <w:spacing w:after="0"/>
        <w:rPr>
          <w:szCs w:val="24"/>
          <w:lang w:val="en-US"/>
        </w:rPr>
      </w:pPr>
      <w:r w:rsidRPr="00224386">
        <w:rPr>
          <w:szCs w:val="24"/>
          <w:lang w:val="en-US"/>
        </w:rPr>
        <w:t>There is no experience of simultaneous use of calcitriol and other medications for the treatment of psoriasis.</w:t>
      </w:r>
    </w:p>
    <w:p w14:paraId="4629F047" w14:textId="77777777" w:rsidR="00224386" w:rsidRPr="00346638" w:rsidRDefault="00224386" w:rsidP="00224386">
      <w:pPr>
        <w:spacing w:after="0"/>
        <w:rPr>
          <w:szCs w:val="24"/>
          <w:lang w:val="en-US"/>
        </w:rPr>
      </w:pPr>
      <w:r w:rsidRPr="00224386">
        <w:rPr>
          <w:szCs w:val="24"/>
          <w:lang w:val="en-US"/>
        </w:rPr>
        <w:t>Information on the interaction of systemic drugs after the use of an ointment with calcitriol is limited.</w:t>
      </w:r>
    </w:p>
    <w:p w14:paraId="51F3B845" w14:textId="77777777" w:rsidR="00224386" w:rsidRPr="00346638" w:rsidRDefault="00224386" w:rsidP="00224386">
      <w:pPr>
        <w:spacing w:after="0"/>
        <w:rPr>
          <w:szCs w:val="24"/>
          <w:lang w:val="en-US"/>
        </w:rPr>
      </w:pPr>
      <w:r w:rsidRPr="00346638">
        <w:rPr>
          <w:szCs w:val="24"/>
          <w:lang w:val="en-US"/>
        </w:rPr>
        <w:t xml:space="preserve">It is not recommended to apply </w:t>
      </w:r>
      <w:proofErr w:type="spellStart"/>
      <w:r w:rsidRPr="00346638">
        <w:rPr>
          <w:szCs w:val="24"/>
          <w:lang w:val="en-US"/>
        </w:rPr>
        <w:t>Phorcal</w:t>
      </w:r>
      <w:proofErr w:type="spellEnd"/>
      <w:r w:rsidRPr="00224386">
        <w:rPr>
          <w:szCs w:val="24"/>
          <w:vertAlign w:val="superscript"/>
          <w:lang w:val="en-US"/>
        </w:rPr>
        <w:t>®</w:t>
      </w:r>
      <w:r>
        <w:rPr>
          <w:szCs w:val="24"/>
          <w:lang w:val="en-US"/>
        </w:rPr>
        <w:t xml:space="preserve"> </w:t>
      </w:r>
      <w:r w:rsidRPr="00346638">
        <w:rPr>
          <w:szCs w:val="24"/>
          <w:lang w:val="en-US"/>
        </w:rPr>
        <w:t>ointment synchronously with salicylic acid and preparations containing salicylic acid.</w:t>
      </w:r>
    </w:p>
    <w:p w14:paraId="0DF11F2A" w14:textId="77777777" w:rsidR="00224386" w:rsidRPr="00224386" w:rsidRDefault="00224386" w:rsidP="00224386">
      <w:pPr>
        <w:spacing w:after="0"/>
        <w:rPr>
          <w:szCs w:val="24"/>
          <w:lang w:val="en-US"/>
        </w:rPr>
      </w:pPr>
      <w:r w:rsidRPr="00224386">
        <w:rPr>
          <w:szCs w:val="24"/>
          <w:lang w:val="en-US"/>
        </w:rPr>
        <w:t>As calcitriol ointment may cause light irritation, its synchronous use with peeling agents, astringent or irritating substances may increase the irritating effect.</w:t>
      </w:r>
    </w:p>
    <w:p w14:paraId="7645378A" w14:textId="77777777" w:rsidR="00224386" w:rsidRPr="00224386" w:rsidRDefault="00224386" w:rsidP="00224386">
      <w:pPr>
        <w:spacing w:after="0"/>
        <w:rPr>
          <w:szCs w:val="24"/>
          <w:lang w:val="en-US"/>
        </w:rPr>
      </w:pPr>
    </w:p>
    <w:p w14:paraId="5870AC8E" w14:textId="77777777" w:rsidR="00224386" w:rsidRPr="00224386" w:rsidRDefault="00224386" w:rsidP="00224386">
      <w:pPr>
        <w:spacing w:after="0"/>
        <w:rPr>
          <w:i/>
          <w:szCs w:val="24"/>
          <w:lang w:val="en-US"/>
        </w:rPr>
      </w:pPr>
      <w:r w:rsidRPr="00224386">
        <w:rPr>
          <w:b/>
          <w:i/>
          <w:lang w:val="en-US"/>
        </w:rPr>
        <w:t>Special warnings and precautions for use.</w:t>
      </w:r>
    </w:p>
    <w:p w14:paraId="7598B480" w14:textId="77777777" w:rsidR="00DD03DB" w:rsidRPr="00DD03DB" w:rsidRDefault="00E81F73" w:rsidP="00DD03DB">
      <w:pPr>
        <w:spacing w:after="0"/>
        <w:rPr>
          <w:szCs w:val="24"/>
          <w:lang w:val="en-US"/>
        </w:rPr>
      </w:pPr>
      <w:r w:rsidRPr="00E81F73">
        <w:rPr>
          <w:bCs/>
          <w:lang w:val="en-US"/>
        </w:rPr>
        <w:t>Ointment is recommended for use on the face with caution, since there is a risk of irritation in this area.</w:t>
      </w:r>
      <w:r w:rsidR="00DD03DB" w:rsidRPr="00A479F0">
        <w:rPr>
          <w:bCs/>
          <w:lang w:val="en-US"/>
        </w:rPr>
        <w:t xml:space="preserve"> </w:t>
      </w:r>
      <w:r w:rsidR="00224386" w:rsidRPr="00224386">
        <w:rPr>
          <w:bCs/>
          <w:lang w:val="en-US"/>
        </w:rPr>
        <w:t xml:space="preserve">Avoid getting ointment into the eyes. After applying the ointment on the affected area, </w:t>
      </w:r>
      <w:r w:rsidR="00224386" w:rsidRPr="00DD03DB">
        <w:rPr>
          <w:szCs w:val="24"/>
          <w:lang w:val="en-US"/>
        </w:rPr>
        <w:t>wash your hands</w:t>
      </w:r>
      <w:r w:rsidR="00DD03DB" w:rsidRPr="00DD03DB">
        <w:rPr>
          <w:szCs w:val="24"/>
          <w:lang w:val="en-US"/>
        </w:rPr>
        <w:t xml:space="preserve"> to avoid accidental use in uninfected areas</w:t>
      </w:r>
      <w:r w:rsidR="00224386" w:rsidRPr="00DD03DB">
        <w:rPr>
          <w:szCs w:val="24"/>
          <w:lang w:val="en-US"/>
        </w:rPr>
        <w:t>. In case of accidental contact of the ointment with mucous membrane of the eyes, mouth or nose, wash it thoroughly with warm water.</w:t>
      </w:r>
      <w:r w:rsidR="00DD03DB" w:rsidRPr="00DD03DB">
        <w:rPr>
          <w:szCs w:val="24"/>
          <w:lang w:val="en-US"/>
        </w:rPr>
        <w:t xml:space="preserve"> Daily application of the ointment should not exceed 35% of the skin surface. Do not apply more than 30 g of ointment per day, as a certain amount of calcitriol penetrates through the skin, and excessive use of the ointment can cause systemic side effects associated with </w:t>
      </w:r>
      <w:proofErr w:type="spellStart"/>
      <w:r w:rsidR="00DD03DB" w:rsidRPr="00DD03DB">
        <w:rPr>
          <w:szCs w:val="24"/>
          <w:lang w:val="en-US"/>
        </w:rPr>
        <w:t>hypercalcaemia</w:t>
      </w:r>
      <w:proofErr w:type="spellEnd"/>
      <w:r w:rsidR="00DD03DB" w:rsidRPr="00DD03DB">
        <w:rPr>
          <w:szCs w:val="24"/>
          <w:lang w:val="en-US"/>
        </w:rPr>
        <w:t>.</w:t>
      </w:r>
    </w:p>
    <w:p w14:paraId="7E51886F" w14:textId="77777777" w:rsidR="00DD03DB" w:rsidRPr="00DD03DB" w:rsidRDefault="00DD03DB" w:rsidP="00DD03DB">
      <w:pPr>
        <w:spacing w:after="0"/>
        <w:rPr>
          <w:szCs w:val="24"/>
          <w:lang w:val="en-US"/>
        </w:rPr>
      </w:pPr>
      <w:r w:rsidRPr="00DD03DB">
        <w:rPr>
          <w:szCs w:val="24"/>
          <w:lang w:val="en-US"/>
        </w:rPr>
        <w:t xml:space="preserve">Because of the potential effect on calcium metabolism, </w:t>
      </w:r>
      <w:r>
        <w:rPr>
          <w:szCs w:val="24"/>
          <w:lang w:val="en-US"/>
        </w:rPr>
        <w:t>d</w:t>
      </w:r>
      <w:r w:rsidRPr="00DD03DB">
        <w:rPr>
          <w:szCs w:val="24"/>
          <w:lang w:val="en-US"/>
        </w:rPr>
        <w:t>o not add the substances that enhance the ointment penetration, or apply bandage on the skin coated with the drug.</w:t>
      </w:r>
    </w:p>
    <w:p w14:paraId="18EC06EF" w14:textId="77777777" w:rsidR="00DD03DB" w:rsidRPr="00346638" w:rsidRDefault="00DD03DB" w:rsidP="00DD03DB">
      <w:pPr>
        <w:spacing w:after="0"/>
        <w:rPr>
          <w:szCs w:val="24"/>
          <w:lang w:val="en-US"/>
        </w:rPr>
      </w:pPr>
      <w:r w:rsidRPr="00346638">
        <w:rPr>
          <w:szCs w:val="24"/>
          <w:lang w:val="en-US"/>
        </w:rPr>
        <w:t>At long-term administration one should periodically monitor the level of calcium in the blood serum, because the systemic effect of the drug can occur.</w:t>
      </w:r>
    </w:p>
    <w:p w14:paraId="31D2B500" w14:textId="77777777" w:rsidR="00DD03DB" w:rsidRPr="00346638" w:rsidRDefault="00DD03DB" w:rsidP="00DD03DB">
      <w:pPr>
        <w:spacing w:after="0"/>
        <w:rPr>
          <w:szCs w:val="24"/>
          <w:lang w:val="en-US"/>
        </w:rPr>
      </w:pPr>
      <w:r w:rsidRPr="00DD03DB">
        <w:rPr>
          <w:szCs w:val="24"/>
          <w:lang w:val="en-US"/>
        </w:rPr>
        <w:t xml:space="preserve">Pre-clinical studies have shown that </w:t>
      </w:r>
      <w:r w:rsidRPr="00346638">
        <w:rPr>
          <w:szCs w:val="24"/>
          <w:lang w:val="en-US"/>
        </w:rPr>
        <w:t xml:space="preserve">the use of calcitriol ointment enhances the sensitivity of the skin to ultraviolet radiation (UVR). Therefore, patients who use the </w:t>
      </w:r>
      <w:proofErr w:type="spellStart"/>
      <w:r w:rsidRPr="00346638">
        <w:rPr>
          <w:szCs w:val="24"/>
          <w:lang w:val="en-US"/>
        </w:rPr>
        <w:t>Phorcal</w:t>
      </w:r>
      <w:proofErr w:type="spellEnd"/>
      <w:r w:rsidRPr="00DD03DB">
        <w:rPr>
          <w:szCs w:val="24"/>
          <w:vertAlign w:val="superscript"/>
          <w:lang w:val="en-US"/>
        </w:rPr>
        <w:t>®</w:t>
      </w:r>
      <w:r>
        <w:rPr>
          <w:szCs w:val="24"/>
          <w:lang w:val="en-US"/>
        </w:rPr>
        <w:t xml:space="preserve"> </w:t>
      </w:r>
      <w:r w:rsidRPr="00346638">
        <w:rPr>
          <w:szCs w:val="24"/>
          <w:lang w:val="en-US"/>
        </w:rPr>
        <w:t xml:space="preserve">ointment should avoid excessive action of the sunlight (both natural and artificial) on the affected skin. Furthermore, we recommend to limit the use of phototherapy in patients receiving treatment with </w:t>
      </w:r>
      <w:proofErr w:type="spellStart"/>
      <w:r w:rsidRPr="00346638">
        <w:rPr>
          <w:szCs w:val="24"/>
          <w:lang w:val="en-US"/>
        </w:rPr>
        <w:t>Phorcal</w:t>
      </w:r>
      <w:proofErr w:type="spellEnd"/>
      <w:r w:rsidRPr="00DD03DB">
        <w:rPr>
          <w:szCs w:val="24"/>
          <w:vertAlign w:val="superscript"/>
          <w:lang w:val="en-US"/>
        </w:rPr>
        <w:t>®</w:t>
      </w:r>
      <w:r>
        <w:rPr>
          <w:szCs w:val="24"/>
          <w:lang w:val="en-US"/>
        </w:rPr>
        <w:t xml:space="preserve"> </w:t>
      </w:r>
      <w:r w:rsidRPr="00346638">
        <w:rPr>
          <w:szCs w:val="24"/>
          <w:lang w:val="en-US"/>
        </w:rPr>
        <w:t>ointment.</w:t>
      </w:r>
    </w:p>
    <w:p w14:paraId="7B7680FC" w14:textId="77777777" w:rsidR="00DD03DB" w:rsidRDefault="00DD03DB" w:rsidP="00DD03DB">
      <w:pPr>
        <w:spacing w:after="0"/>
        <w:rPr>
          <w:szCs w:val="24"/>
          <w:lang w:val="en-US"/>
        </w:rPr>
      </w:pPr>
      <w:r w:rsidRPr="00346638">
        <w:rPr>
          <w:szCs w:val="24"/>
          <w:lang w:val="en-US"/>
        </w:rPr>
        <w:t xml:space="preserve">There is no information on the use of calcitriol with other clinical implications of psoriasis (another than plaque psoriasis), including </w:t>
      </w:r>
      <w:r w:rsidRPr="00A479F0">
        <w:rPr>
          <w:rFonts w:eastAsia="MS Mincho"/>
          <w:i/>
          <w:color w:val="000000"/>
          <w:spacing w:val="-1"/>
          <w:szCs w:val="24"/>
          <w:lang w:val="en-US" w:eastAsia="ru-RU"/>
        </w:rPr>
        <w:t>Psoriasis guttata acuta</w:t>
      </w:r>
      <w:r w:rsidRPr="00346638">
        <w:rPr>
          <w:szCs w:val="24"/>
          <w:lang w:val="en-US"/>
        </w:rPr>
        <w:t xml:space="preserve">, pustular psoriasis, </w:t>
      </w:r>
      <w:r w:rsidRPr="00A479F0">
        <w:rPr>
          <w:rFonts w:eastAsia="MS Mincho"/>
          <w:i/>
          <w:color w:val="000000"/>
          <w:spacing w:val="-1"/>
          <w:szCs w:val="24"/>
          <w:lang w:val="en-US" w:eastAsia="ru-RU"/>
        </w:rPr>
        <w:t xml:space="preserve">Psoriasis </w:t>
      </w:r>
      <w:proofErr w:type="spellStart"/>
      <w:r w:rsidRPr="00A479F0">
        <w:rPr>
          <w:rFonts w:eastAsia="MS Mincho"/>
          <w:i/>
          <w:color w:val="000000"/>
          <w:spacing w:val="-1"/>
          <w:szCs w:val="24"/>
          <w:lang w:val="en-US" w:eastAsia="ru-RU"/>
        </w:rPr>
        <w:t>erythrodermica</w:t>
      </w:r>
      <w:proofErr w:type="spellEnd"/>
      <w:r>
        <w:rPr>
          <w:szCs w:val="24"/>
          <w:lang w:val="en-US"/>
        </w:rPr>
        <w:t xml:space="preserve">, progressive plaque psoriasis. </w:t>
      </w:r>
    </w:p>
    <w:p w14:paraId="0C3F4866" w14:textId="77777777" w:rsidR="00074FF8" w:rsidRPr="00346638" w:rsidRDefault="00074FF8" w:rsidP="00074FF8">
      <w:pPr>
        <w:spacing w:after="0"/>
        <w:rPr>
          <w:szCs w:val="24"/>
          <w:lang w:val="en-US"/>
        </w:rPr>
      </w:pPr>
      <w:r w:rsidRPr="00346638">
        <w:rPr>
          <w:szCs w:val="24"/>
          <w:lang w:val="en-US"/>
        </w:rPr>
        <w:t>Usually the drug is well tolerated. Some patients may develop side effects, which are usually localized at the application site and are characterized by mild to moderate flow, they disappear on their own. In case of severe irritation at the ointment application site or allergic reactions, contact dermatitis, the patient should consult a doctor and, if necessary, stop the treatment.</w:t>
      </w:r>
    </w:p>
    <w:p w14:paraId="72C9267A" w14:textId="77777777" w:rsidR="00DD03DB" w:rsidRPr="00346638" w:rsidRDefault="00DD03DB" w:rsidP="00DD03DB">
      <w:pPr>
        <w:spacing w:after="0"/>
        <w:rPr>
          <w:szCs w:val="24"/>
          <w:lang w:val="en-US"/>
        </w:rPr>
      </w:pPr>
      <w:r w:rsidRPr="00DD03DB">
        <w:rPr>
          <w:szCs w:val="24"/>
          <w:lang w:val="en-US"/>
        </w:rPr>
        <w:lastRenderedPageBreak/>
        <w:t>The drug contains propylene glycol, which can cause skin irritation.</w:t>
      </w:r>
    </w:p>
    <w:p w14:paraId="29D603B8" w14:textId="77777777" w:rsidR="00DD03DB" w:rsidRDefault="00DD03DB" w:rsidP="00224386">
      <w:pPr>
        <w:spacing w:after="0" w:line="240" w:lineRule="auto"/>
        <w:rPr>
          <w:szCs w:val="24"/>
          <w:lang w:val="en-US"/>
        </w:rPr>
      </w:pPr>
    </w:p>
    <w:p w14:paraId="125964D1" w14:textId="77777777" w:rsidR="00045452" w:rsidRPr="00045452" w:rsidRDefault="00045452" w:rsidP="00045452">
      <w:pPr>
        <w:spacing w:after="0"/>
        <w:rPr>
          <w:i/>
          <w:szCs w:val="24"/>
          <w:lang w:val="en-US"/>
        </w:rPr>
      </w:pPr>
      <w:r w:rsidRPr="00045452">
        <w:rPr>
          <w:i/>
          <w:szCs w:val="24"/>
          <w:lang w:val="en-US"/>
        </w:rPr>
        <w:t>Pregnancy and lactation.</w:t>
      </w:r>
    </w:p>
    <w:p w14:paraId="0A7D5788" w14:textId="77777777" w:rsidR="00045452" w:rsidRPr="00045452" w:rsidRDefault="00045452" w:rsidP="00045452">
      <w:pPr>
        <w:spacing w:after="0"/>
        <w:rPr>
          <w:i/>
          <w:szCs w:val="24"/>
          <w:lang w:val="en-US"/>
        </w:rPr>
      </w:pPr>
      <w:r w:rsidRPr="00045452">
        <w:rPr>
          <w:i/>
          <w:szCs w:val="24"/>
          <w:lang w:val="en-US"/>
        </w:rPr>
        <w:t>Pregnancy.</w:t>
      </w:r>
    </w:p>
    <w:p w14:paraId="0593B954" w14:textId="77777777" w:rsidR="00045452" w:rsidRDefault="00045452" w:rsidP="00045452">
      <w:pPr>
        <w:spacing w:after="0"/>
        <w:rPr>
          <w:szCs w:val="24"/>
          <w:lang w:val="en-US"/>
        </w:rPr>
      </w:pPr>
      <w:r w:rsidRPr="00346638">
        <w:rPr>
          <w:szCs w:val="24"/>
          <w:lang w:val="en-US"/>
        </w:rPr>
        <w:t>It is not recommended to administer the drug during pregnancy due to the lack of sufficient data regarding the drug application in pregnant women.</w:t>
      </w:r>
    </w:p>
    <w:p w14:paraId="0F39727B" w14:textId="77777777" w:rsidR="00045452" w:rsidRDefault="00045452" w:rsidP="00045452">
      <w:pPr>
        <w:spacing w:after="0"/>
        <w:rPr>
          <w:i/>
          <w:szCs w:val="24"/>
          <w:lang w:val="en-US"/>
        </w:rPr>
      </w:pPr>
      <w:r w:rsidRPr="00045452">
        <w:rPr>
          <w:i/>
          <w:szCs w:val="24"/>
          <w:lang w:val="en-US"/>
        </w:rPr>
        <w:t>Lactation</w:t>
      </w:r>
      <w:r>
        <w:rPr>
          <w:i/>
          <w:szCs w:val="24"/>
          <w:lang w:val="en-US"/>
        </w:rPr>
        <w:t>.</w:t>
      </w:r>
    </w:p>
    <w:p w14:paraId="29E99D8B" w14:textId="77777777" w:rsidR="00045452" w:rsidRPr="00346638" w:rsidRDefault="00045452" w:rsidP="00045452">
      <w:pPr>
        <w:spacing w:after="0"/>
        <w:rPr>
          <w:szCs w:val="24"/>
          <w:lang w:val="en-US"/>
        </w:rPr>
      </w:pPr>
      <w:r w:rsidRPr="00045452">
        <w:rPr>
          <w:szCs w:val="24"/>
          <w:lang w:val="en-US"/>
        </w:rPr>
        <w:t xml:space="preserve">Calcitriol was found in the milk of nursing females. It is not known whether calcitriol penetrates into breast milk, </w:t>
      </w:r>
      <w:r w:rsidRPr="00346638">
        <w:rPr>
          <w:szCs w:val="24"/>
          <w:lang w:val="en-US"/>
        </w:rPr>
        <w:t xml:space="preserve">so if it is necessary to use the </w:t>
      </w:r>
      <w:proofErr w:type="spellStart"/>
      <w:r w:rsidRPr="00346638">
        <w:rPr>
          <w:szCs w:val="24"/>
          <w:lang w:val="en-US"/>
        </w:rPr>
        <w:t>Phorcal</w:t>
      </w:r>
      <w:proofErr w:type="spellEnd"/>
      <w:r w:rsidRPr="00045452">
        <w:rPr>
          <w:szCs w:val="24"/>
          <w:vertAlign w:val="superscript"/>
          <w:lang w:val="en-US"/>
        </w:rPr>
        <w:t>®</w:t>
      </w:r>
      <w:r>
        <w:rPr>
          <w:szCs w:val="24"/>
          <w:lang w:val="en-US"/>
        </w:rPr>
        <w:t xml:space="preserve"> </w:t>
      </w:r>
      <w:r w:rsidRPr="00346638">
        <w:rPr>
          <w:szCs w:val="24"/>
          <w:lang w:val="en-US"/>
        </w:rPr>
        <w:t>ointment during lactation, one should decide on</w:t>
      </w:r>
      <w:r>
        <w:rPr>
          <w:szCs w:val="24"/>
          <w:lang w:val="en-US"/>
        </w:rPr>
        <w:t xml:space="preserve"> termination of breast-feeding.</w:t>
      </w:r>
    </w:p>
    <w:p w14:paraId="024DB491" w14:textId="77777777" w:rsidR="00DD03DB" w:rsidRDefault="00DD03DB" w:rsidP="00224386">
      <w:pPr>
        <w:spacing w:after="0" w:line="240" w:lineRule="auto"/>
        <w:rPr>
          <w:rFonts w:eastAsia="MS Mincho"/>
          <w:color w:val="000000"/>
          <w:spacing w:val="-1"/>
          <w:szCs w:val="24"/>
          <w:lang w:val="en-US" w:eastAsia="ru-RU"/>
        </w:rPr>
      </w:pPr>
    </w:p>
    <w:p w14:paraId="7A14D4B2" w14:textId="77777777" w:rsidR="00045452" w:rsidRPr="00045452" w:rsidRDefault="00045452" w:rsidP="00045452">
      <w:pPr>
        <w:spacing w:after="0"/>
        <w:rPr>
          <w:i/>
          <w:szCs w:val="24"/>
          <w:lang w:val="en-US"/>
        </w:rPr>
      </w:pPr>
      <w:r w:rsidRPr="00045452">
        <w:rPr>
          <w:i/>
          <w:szCs w:val="24"/>
          <w:lang w:val="en-US"/>
        </w:rPr>
        <w:t>Effects on ability to drive and operate machinery.</w:t>
      </w:r>
    </w:p>
    <w:p w14:paraId="0C30AF73" w14:textId="77777777" w:rsidR="00045452" w:rsidRPr="00346638" w:rsidRDefault="00045452" w:rsidP="00045452">
      <w:pPr>
        <w:spacing w:after="0"/>
        <w:rPr>
          <w:szCs w:val="24"/>
          <w:lang w:val="en-US"/>
        </w:rPr>
      </w:pPr>
      <w:r w:rsidRPr="00346638">
        <w:rPr>
          <w:szCs w:val="24"/>
          <w:lang w:val="en-US"/>
        </w:rPr>
        <w:t>No effect. </w:t>
      </w:r>
    </w:p>
    <w:p w14:paraId="42C77FDB" w14:textId="77777777" w:rsidR="000240FA" w:rsidRDefault="000240FA" w:rsidP="00224386">
      <w:pPr>
        <w:spacing w:after="0" w:line="240" w:lineRule="auto"/>
        <w:rPr>
          <w:rFonts w:eastAsia="MS Mincho"/>
          <w:color w:val="000000"/>
          <w:spacing w:val="-1"/>
          <w:szCs w:val="24"/>
          <w:lang w:val="en-US" w:eastAsia="ru-RU"/>
        </w:rPr>
      </w:pPr>
    </w:p>
    <w:p w14:paraId="7A80CD6C" w14:textId="77777777" w:rsidR="00045452" w:rsidRPr="00045452" w:rsidRDefault="00045452" w:rsidP="00045452">
      <w:pPr>
        <w:spacing w:after="0"/>
        <w:rPr>
          <w:b/>
          <w:i/>
          <w:szCs w:val="24"/>
          <w:lang w:val="en-US"/>
        </w:rPr>
      </w:pPr>
      <w:r w:rsidRPr="00045452">
        <w:rPr>
          <w:b/>
          <w:i/>
          <w:szCs w:val="24"/>
          <w:lang w:val="en-US"/>
        </w:rPr>
        <w:t xml:space="preserve">Administration and </w:t>
      </w:r>
      <w:r>
        <w:rPr>
          <w:b/>
          <w:i/>
          <w:szCs w:val="24"/>
          <w:lang w:val="en-US"/>
        </w:rPr>
        <w:t>d</w:t>
      </w:r>
      <w:r w:rsidRPr="00045452">
        <w:rPr>
          <w:b/>
          <w:i/>
          <w:szCs w:val="24"/>
          <w:lang w:val="en-US"/>
        </w:rPr>
        <w:t>osage.</w:t>
      </w:r>
    </w:p>
    <w:p w14:paraId="3A559269" w14:textId="77777777" w:rsidR="00045452" w:rsidRDefault="00045452" w:rsidP="00045452">
      <w:pPr>
        <w:spacing w:after="0"/>
        <w:rPr>
          <w:szCs w:val="24"/>
          <w:lang w:val="en-US"/>
        </w:rPr>
      </w:pPr>
      <w:r w:rsidRPr="00346638">
        <w:rPr>
          <w:szCs w:val="24"/>
          <w:lang w:val="en-US"/>
        </w:rPr>
        <w:t>For external use only. Apply thin layer of the ointment to the affected areas of skin 2 times a day (in the morning and in the evening). Daily application of the ointment should not exceed 35% of the skin surface. Do not apply more than 30 g of ointment per day. The average duration of treatment is 6 weeks. On the recommendation of the physician a l</w:t>
      </w:r>
      <w:r>
        <w:rPr>
          <w:szCs w:val="24"/>
          <w:lang w:val="en-US"/>
        </w:rPr>
        <w:t xml:space="preserve">ong-term treatment is possible. </w:t>
      </w:r>
      <w:r w:rsidRPr="00045452">
        <w:rPr>
          <w:szCs w:val="24"/>
          <w:lang w:val="en-US"/>
        </w:rPr>
        <w:t>The clinical experience of using ointment for more than 6 weeks is limited.</w:t>
      </w:r>
    </w:p>
    <w:p w14:paraId="7FDE8874" w14:textId="77777777" w:rsidR="00074FF8" w:rsidRDefault="00074FF8" w:rsidP="00045452">
      <w:pPr>
        <w:spacing w:after="0"/>
        <w:rPr>
          <w:szCs w:val="24"/>
          <w:lang w:val="en-US"/>
        </w:rPr>
      </w:pPr>
    </w:p>
    <w:p w14:paraId="1725C0D4" w14:textId="77777777" w:rsidR="00074FF8" w:rsidRPr="00074FF8" w:rsidRDefault="00074FF8" w:rsidP="00074FF8">
      <w:pPr>
        <w:spacing w:after="0"/>
        <w:rPr>
          <w:i/>
          <w:szCs w:val="24"/>
          <w:lang w:val="en-US"/>
        </w:rPr>
      </w:pPr>
      <w:r w:rsidRPr="00074FF8">
        <w:rPr>
          <w:i/>
          <w:szCs w:val="24"/>
          <w:lang w:val="en-US"/>
        </w:rPr>
        <w:t>Children.</w:t>
      </w:r>
    </w:p>
    <w:p w14:paraId="1E635411" w14:textId="77777777" w:rsidR="00074FF8" w:rsidRDefault="00074FF8" w:rsidP="00074FF8">
      <w:pPr>
        <w:spacing w:after="0"/>
        <w:rPr>
          <w:szCs w:val="24"/>
          <w:lang w:val="en-US"/>
        </w:rPr>
      </w:pPr>
      <w:r w:rsidRPr="00346638">
        <w:rPr>
          <w:szCs w:val="24"/>
          <w:lang w:val="en-US"/>
        </w:rPr>
        <w:t>Because of the absence of data regarding the application of calcitriol ointment to children, the drug is contraindicated</w:t>
      </w:r>
      <w:r>
        <w:rPr>
          <w:szCs w:val="24"/>
          <w:lang w:val="en-US"/>
        </w:rPr>
        <w:t xml:space="preserve"> in this age group of patients.</w:t>
      </w:r>
    </w:p>
    <w:p w14:paraId="639CDBDA" w14:textId="77777777" w:rsidR="00074FF8" w:rsidRDefault="00074FF8" w:rsidP="00074FF8">
      <w:pPr>
        <w:spacing w:after="0"/>
        <w:rPr>
          <w:szCs w:val="24"/>
          <w:lang w:val="en-US"/>
        </w:rPr>
      </w:pPr>
    </w:p>
    <w:p w14:paraId="13AB2592" w14:textId="77777777" w:rsidR="00074FF8" w:rsidRPr="00074FF8" w:rsidRDefault="00074FF8" w:rsidP="00074FF8">
      <w:pPr>
        <w:spacing w:after="0"/>
        <w:rPr>
          <w:b/>
          <w:i/>
          <w:szCs w:val="24"/>
          <w:lang w:val="en-US"/>
        </w:rPr>
      </w:pPr>
      <w:r w:rsidRPr="00074FF8">
        <w:rPr>
          <w:b/>
          <w:i/>
          <w:szCs w:val="24"/>
          <w:lang w:val="en-US"/>
        </w:rPr>
        <w:t>Overdose.</w:t>
      </w:r>
    </w:p>
    <w:p w14:paraId="27CD10AE" w14:textId="77777777" w:rsidR="00074FF8" w:rsidRPr="00346638" w:rsidRDefault="00074FF8" w:rsidP="00074FF8">
      <w:pPr>
        <w:spacing w:after="0"/>
        <w:rPr>
          <w:szCs w:val="24"/>
          <w:lang w:val="en-US"/>
        </w:rPr>
      </w:pPr>
      <w:r w:rsidRPr="00346638">
        <w:rPr>
          <w:szCs w:val="24"/>
          <w:lang w:val="en-US"/>
        </w:rPr>
        <w:t xml:space="preserve">In the local application at the recommended doses the drug overdose is unlikely, but long-term treatment and excessive application of ointment (over 100 g per week) may cause </w:t>
      </w:r>
      <w:proofErr w:type="spellStart"/>
      <w:r w:rsidRPr="00346638">
        <w:rPr>
          <w:szCs w:val="24"/>
          <w:lang w:val="en-US"/>
        </w:rPr>
        <w:t>hypercalcaemia</w:t>
      </w:r>
      <w:proofErr w:type="spellEnd"/>
      <w:r w:rsidRPr="00346638">
        <w:rPr>
          <w:szCs w:val="24"/>
          <w:lang w:val="en-US"/>
        </w:rPr>
        <w:t xml:space="preserve"> and hypercalciuria. In the case of </w:t>
      </w:r>
      <w:proofErr w:type="spellStart"/>
      <w:r w:rsidRPr="00346638">
        <w:rPr>
          <w:szCs w:val="24"/>
          <w:lang w:val="en-US"/>
        </w:rPr>
        <w:t>hypercalcaemia</w:t>
      </w:r>
      <w:proofErr w:type="spellEnd"/>
      <w:r w:rsidRPr="00346638">
        <w:rPr>
          <w:szCs w:val="24"/>
          <w:lang w:val="en-US"/>
        </w:rPr>
        <w:t xml:space="preserve"> and hypercalciuria it is necessary to stop drug administration until the calcium levels in serum and urine come back to normal. In case of accidental ingestion, anorexia, nausea, vomiting, constipation, hypotension, depression, sometimes drowsiness and coma may occur.</w:t>
      </w:r>
    </w:p>
    <w:p w14:paraId="0105B75C" w14:textId="77777777" w:rsidR="00074FF8" w:rsidRDefault="00074FF8" w:rsidP="00074FF8">
      <w:pPr>
        <w:spacing w:after="0"/>
        <w:rPr>
          <w:szCs w:val="24"/>
          <w:lang w:val="en-US"/>
        </w:rPr>
      </w:pPr>
      <w:r w:rsidRPr="00074FF8">
        <w:rPr>
          <w:i/>
          <w:szCs w:val="24"/>
          <w:lang w:val="en-US"/>
        </w:rPr>
        <w:t>Treatment:</w:t>
      </w:r>
      <w:r>
        <w:rPr>
          <w:szCs w:val="24"/>
          <w:lang w:val="en-US"/>
        </w:rPr>
        <w:t xml:space="preserve"> </w:t>
      </w:r>
      <w:r w:rsidRPr="00346638">
        <w:rPr>
          <w:szCs w:val="24"/>
          <w:lang w:val="en-US"/>
        </w:rPr>
        <w:t>symptomatic therapy.</w:t>
      </w:r>
    </w:p>
    <w:p w14:paraId="5357F739" w14:textId="77777777" w:rsidR="00074FF8" w:rsidRPr="00346638" w:rsidRDefault="00074FF8" w:rsidP="00074FF8">
      <w:pPr>
        <w:spacing w:after="0"/>
        <w:rPr>
          <w:szCs w:val="24"/>
          <w:lang w:val="en-US"/>
        </w:rPr>
      </w:pPr>
    </w:p>
    <w:p w14:paraId="70B42564" w14:textId="77777777" w:rsidR="00074FF8" w:rsidRPr="00074FF8" w:rsidRDefault="00074FF8" w:rsidP="00074FF8">
      <w:pPr>
        <w:spacing w:after="0"/>
        <w:rPr>
          <w:b/>
          <w:i/>
          <w:szCs w:val="24"/>
          <w:lang w:val="en-US"/>
        </w:rPr>
      </w:pPr>
      <w:r w:rsidRPr="00074FF8">
        <w:rPr>
          <w:b/>
          <w:i/>
          <w:szCs w:val="24"/>
          <w:lang w:val="en-US"/>
        </w:rPr>
        <w:t>Side effects.</w:t>
      </w:r>
    </w:p>
    <w:p w14:paraId="4A0B50E8" w14:textId="77777777" w:rsidR="00074FF8" w:rsidRDefault="00074FF8" w:rsidP="00074FF8">
      <w:pPr>
        <w:spacing w:after="0"/>
        <w:rPr>
          <w:szCs w:val="24"/>
          <w:lang w:val="en-US"/>
        </w:rPr>
      </w:pPr>
      <w:r w:rsidRPr="00074FF8">
        <w:rPr>
          <w:i/>
          <w:szCs w:val="24"/>
          <w:lang w:val="en-US"/>
        </w:rPr>
        <w:t>Immune system:</w:t>
      </w:r>
      <w:r w:rsidRPr="00074FF8">
        <w:rPr>
          <w:szCs w:val="24"/>
          <w:lang w:val="en-US"/>
        </w:rPr>
        <w:t xml:space="preserve"> hypersensitivity reactions, including allergic reactions.</w:t>
      </w:r>
    </w:p>
    <w:p w14:paraId="2F2BBD8F" w14:textId="77777777" w:rsidR="00074FF8" w:rsidRPr="00346638" w:rsidRDefault="00074FF8" w:rsidP="00074FF8">
      <w:pPr>
        <w:spacing w:after="0"/>
        <w:rPr>
          <w:szCs w:val="24"/>
          <w:lang w:val="en-US"/>
        </w:rPr>
      </w:pPr>
      <w:r w:rsidRPr="00074FF8">
        <w:rPr>
          <w:i/>
          <w:szCs w:val="24"/>
          <w:lang w:val="en-US"/>
        </w:rPr>
        <w:t>Skin and its appendages:</w:t>
      </w:r>
      <w:r>
        <w:rPr>
          <w:szCs w:val="24"/>
          <w:lang w:val="en-US"/>
        </w:rPr>
        <w:t xml:space="preserve"> </w:t>
      </w:r>
      <w:r w:rsidRPr="00346638">
        <w:rPr>
          <w:szCs w:val="24"/>
          <w:lang w:val="en-US"/>
        </w:rPr>
        <w:t>itching, discomfort, burning, skin irritation (can be expressed in the form of pustules, papules or vesicles), erythema (redness), dry skin, psoriasis (worsening), swelling of the skin, contact dermatitis.</w:t>
      </w:r>
      <w:r>
        <w:rPr>
          <w:szCs w:val="24"/>
          <w:lang w:val="en-US"/>
        </w:rPr>
        <w:t xml:space="preserve"> </w:t>
      </w:r>
      <w:r w:rsidRPr="00346638">
        <w:rPr>
          <w:szCs w:val="24"/>
          <w:lang w:val="en-US"/>
        </w:rPr>
        <w:t>Dermatitis may occur on the face, particularly around the mouth, which usually resolves after discontinuation of the drug administration.</w:t>
      </w:r>
    </w:p>
    <w:p w14:paraId="3C13D24B" w14:textId="77777777" w:rsidR="00074FF8" w:rsidRPr="00346638" w:rsidRDefault="00074FF8" w:rsidP="00074FF8">
      <w:pPr>
        <w:spacing w:after="0"/>
        <w:rPr>
          <w:szCs w:val="24"/>
          <w:lang w:val="en-US"/>
        </w:rPr>
      </w:pPr>
      <w:r w:rsidRPr="00074FF8">
        <w:rPr>
          <w:i/>
          <w:szCs w:val="24"/>
          <w:lang w:val="en-US"/>
        </w:rPr>
        <w:t>Metabolism:</w:t>
      </w:r>
      <w:r>
        <w:rPr>
          <w:szCs w:val="24"/>
          <w:lang w:val="en-US"/>
        </w:rPr>
        <w:t xml:space="preserve"> </w:t>
      </w:r>
      <w:proofErr w:type="spellStart"/>
      <w:r w:rsidRPr="00346638">
        <w:rPr>
          <w:szCs w:val="24"/>
          <w:lang w:val="en-US"/>
        </w:rPr>
        <w:t>hypercalcaemia</w:t>
      </w:r>
      <w:proofErr w:type="spellEnd"/>
      <w:r w:rsidRPr="00346638">
        <w:rPr>
          <w:szCs w:val="24"/>
          <w:lang w:val="en-US"/>
        </w:rPr>
        <w:t>.</w:t>
      </w:r>
    </w:p>
    <w:p w14:paraId="5F775BB0" w14:textId="77777777" w:rsidR="00074FF8" w:rsidRDefault="00074FF8" w:rsidP="00074FF8">
      <w:pPr>
        <w:spacing w:after="0"/>
        <w:rPr>
          <w:szCs w:val="24"/>
          <w:lang w:val="en-US"/>
        </w:rPr>
      </w:pPr>
      <w:r w:rsidRPr="00074FF8">
        <w:rPr>
          <w:i/>
          <w:szCs w:val="24"/>
          <w:lang w:val="en-US"/>
        </w:rPr>
        <w:t>Kidneys and the urinary system:</w:t>
      </w:r>
      <w:r>
        <w:rPr>
          <w:szCs w:val="24"/>
          <w:lang w:val="en-US"/>
        </w:rPr>
        <w:t xml:space="preserve"> hypercalciuria, urolithiasis.</w:t>
      </w:r>
    </w:p>
    <w:p w14:paraId="010563FB" w14:textId="77777777" w:rsidR="00074FF8" w:rsidRDefault="00074FF8" w:rsidP="00074FF8">
      <w:pPr>
        <w:spacing w:after="0"/>
        <w:rPr>
          <w:szCs w:val="24"/>
          <w:lang w:val="en-US"/>
        </w:rPr>
      </w:pPr>
    </w:p>
    <w:p w14:paraId="46D93D05" w14:textId="77777777" w:rsidR="00074FF8" w:rsidRPr="00346638" w:rsidRDefault="00074FF8" w:rsidP="00074FF8">
      <w:pPr>
        <w:spacing w:after="0"/>
        <w:rPr>
          <w:szCs w:val="24"/>
          <w:lang w:val="en-US"/>
        </w:rPr>
      </w:pPr>
      <w:r w:rsidRPr="00074FF8">
        <w:rPr>
          <w:b/>
          <w:i/>
          <w:szCs w:val="24"/>
          <w:lang w:val="en-US"/>
        </w:rPr>
        <w:t>Shelf-life.</w:t>
      </w:r>
      <w:r>
        <w:rPr>
          <w:szCs w:val="24"/>
          <w:lang w:val="en-US"/>
        </w:rPr>
        <w:t xml:space="preserve"> </w:t>
      </w:r>
      <w:r w:rsidRPr="00346638">
        <w:rPr>
          <w:szCs w:val="24"/>
          <w:lang w:val="en-US"/>
        </w:rPr>
        <w:t>3 years.</w:t>
      </w:r>
      <w:r>
        <w:rPr>
          <w:szCs w:val="24"/>
          <w:lang w:val="en-US"/>
        </w:rPr>
        <w:t xml:space="preserve"> </w:t>
      </w:r>
    </w:p>
    <w:p w14:paraId="1706C26F" w14:textId="77777777" w:rsidR="00074FF8" w:rsidRPr="00074FF8" w:rsidRDefault="00074FF8" w:rsidP="00074FF8">
      <w:pPr>
        <w:spacing w:after="0"/>
        <w:rPr>
          <w:b/>
          <w:szCs w:val="24"/>
          <w:lang w:val="en-US"/>
        </w:rPr>
      </w:pPr>
      <w:r w:rsidRPr="00074FF8">
        <w:rPr>
          <w:b/>
          <w:szCs w:val="24"/>
          <w:lang w:val="en-US"/>
        </w:rPr>
        <w:t>Storage.</w:t>
      </w:r>
    </w:p>
    <w:p w14:paraId="795DE48D" w14:textId="77777777" w:rsidR="00074FF8" w:rsidRPr="00346638" w:rsidRDefault="00074FF8" w:rsidP="00074FF8">
      <w:pPr>
        <w:spacing w:after="0"/>
        <w:rPr>
          <w:szCs w:val="24"/>
          <w:lang w:val="en-US"/>
        </w:rPr>
      </w:pPr>
      <w:r w:rsidRPr="00346638">
        <w:rPr>
          <w:szCs w:val="24"/>
          <w:lang w:val="en-US"/>
        </w:rPr>
        <w:t>Store below 25°С in original package and in a dark place.</w:t>
      </w:r>
    </w:p>
    <w:p w14:paraId="2215F953" w14:textId="77777777" w:rsidR="00074FF8" w:rsidRDefault="00074FF8" w:rsidP="00074FF8">
      <w:pPr>
        <w:spacing w:after="0"/>
        <w:rPr>
          <w:szCs w:val="24"/>
          <w:lang w:val="en-US"/>
        </w:rPr>
      </w:pPr>
      <w:r w:rsidRPr="00346638">
        <w:rPr>
          <w:szCs w:val="24"/>
          <w:lang w:val="en-US"/>
        </w:rPr>
        <w:t>Keep it out of reach of children.</w:t>
      </w:r>
      <w:r>
        <w:rPr>
          <w:szCs w:val="24"/>
          <w:lang w:val="en-US"/>
        </w:rPr>
        <w:t xml:space="preserve"> </w:t>
      </w:r>
    </w:p>
    <w:p w14:paraId="400AA19F" w14:textId="77777777" w:rsidR="00074FF8" w:rsidRPr="00346638" w:rsidRDefault="00074FF8" w:rsidP="00074FF8">
      <w:pPr>
        <w:spacing w:after="0"/>
        <w:rPr>
          <w:szCs w:val="24"/>
          <w:lang w:val="en-US"/>
        </w:rPr>
      </w:pPr>
    </w:p>
    <w:p w14:paraId="72E71AA3" w14:textId="77777777" w:rsidR="00074FF8" w:rsidRPr="00074FF8" w:rsidRDefault="00074FF8" w:rsidP="00074FF8">
      <w:pPr>
        <w:spacing w:after="0"/>
        <w:rPr>
          <w:b/>
          <w:szCs w:val="24"/>
          <w:lang w:val="en-US"/>
        </w:rPr>
      </w:pPr>
      <w:r w:rsidRPr="00074FF8">
        <w:rPr>
          <w:b/>
          <w:szCs w:val="24"/>
          <w:lang w:val="en-US"/>
        </w:rPr>
        <w:t>Package.</w:t>
      </w:r>
    </w:p>
    <w:p w14:paraId="26F5E32A" w14:textId="77777777" w:rsidR="00074FF8" w:rsidRDefault="00074FF8" w:rsidP="00074FF8">
      <w:pPr>
        <w:spacing w:after="0"/>
        <w:rPr>
          <w:szCs w:val="24"/>
          <w:lang w:val="en-US"/>
        </w:rPr>
      </w:pPr>
      <w:r w:rsidRPr="00346638">
        <w:rPr>
          <w:szCs w:val="24"/>
          <w:lang w:val="en-US"/>
        </w:rPr>
        <w:lastRenderedPageBreak/>
        <w:t>30 g, 100 g in</w:t>
      </w:r>
      <w:r>
        <w:rPr>
          <w:szCs w:val="24"/>
          <w:lang w:val="en-US"/>
        </w:rPr>
        <w:t xml:space="preserve"> tubes, 1 tube in a carton box.</w:t>
      </w:r>
    </w:p>
    <w:p w14:paraId="42189727" w14:textId="77777777" w:rsidR="00074FF8" w:rsidRPr="00346638" w:rsidRDefault="00074FF8" w:rsidP="00074FF8">
      <w:pPr>
        <w:spacing w:after="0"/>
        <w:rPr>
          <w:szCs w:val="24"/>
          <w:lang w:val="en-US"/>
        </w:rPr>
      </w:pPr>
    </w:p>
    <w:p w14:paraId="446B854A" w14:textId="77777777" w:rsidR="00074FF8" w:rsidRPr="00074FF8" w:rsidRDefault="00074FF8" w:rsidP="00074FF8">
      <w:pPr>
        <w:spacing w:after="0"/>
        <w:rPr>
          <w:b/>
          <w:szCs w:val="24"/>
          <w:lang w:val="en-US"/>
        </w:rPr>
      </w:pPr>
      <w:r w:rsidRPr="00074FF8">
        <w:rPr>
          <w:b/>
          <w:szCs w:val="24"/>
          <w:lang w:val="en-US"/>
        </w:rPr>
        <w:t>Conditions of supply.</w:t>
      </w:r>
    </w:p>
    <w:p w14:paraId="6BE544B7" w14:textId="77777777" w:rsidR="00074FF8" w:rsidRPr="00346638" w:rsidRDefault="00074FF8" w:rsidP="00074FF8">
      <w:pPr>
        <w:spacing w:after="0"/>
        <w:rPr>
          <w:szCs w:val="24"/>
          <w:lang w:val="en-US"/>
        </w:rPr>
      </w:pPr>
      <w:r>
        <w:rPr>
          <w:szCs w:val="24"/>
          <w:lang w:val="en-US"/>
        </w:rPr>
        <w:t>On prescription.</w:t>
      </w:r>
    </w:p>
    <w:p w14:paraId="558A22B4" w14:textId="77777777" w:rsidR="00074FF8" w:rsidRPr="00074FF8" w:rsidRDefault="00074FF8" w:rsidP="00074FF8">
      <w:pPr>
        <w:spacing w:after="0"/>
        <w:rPr>
          <w:b/>
          <w:szCs w:val="24"/>
          <w:lang w:val="en-US"/>
        </w:rPr>
      </w:pPr>
      <w:r w:rsidRPr="00074FF8">
        <w:rPr>
          <w:b/>
          <w:szCs w:val="24"/>
          <w:lang w:val="en-US"/>
        </w:rPr>
        <w:t>Manufacturer.</w:t>
      </w:r>
    </w:p>
    <w:p w14:paraId="2F6247E8" w14:textId="77777777" w:rsidR="00074FF8" w:rsidRDefault="00074FF8" w:rsidP="00074FF8">
      <w:pPr>
        <w:spacing w:after="0"/>
        <w:rPr>
          <w:szCs w:val="24"/>
          <w:lang w:val="en-US"/>
        </w:rPr>
      </w:pPr>
      <w:r>
        <w:rPr>
          <w:szCs w:val="24"/>
          <w:lang w:val="en-US"/>
        </w:rPr>
        <w:t>KUSUM HEALTHCARE PVT. LTD.</w:t>
      </w:r>
    </w:p>
    <w:p w14:paraId="686D5410" w14:textId="77777777" w:rsidR="00074FF8" w:rsidRPr="00346638" w:rsidRDefault="00074FF8" w:rsidP="00074FF8">
      <w:pPr>
        <w:spacing w:after="0"/>
        <w:rPr>
          <w:szCs w:val="24"/>
          <w:lang w:val="en-US"/>
        </w:rPr>
      </w:pPr>
    </w:p>
    <w:p w14:paraId="453EE046" w14:textId="77777777" w:rsidR="00074FF8" w:rsidRPr="00074FF8" w:rsidRDefault="00074FF8" w:rsidP="00074FF8">
      <w:pPr>
        <w:spacing w:after="0"/>
        <w:rPr>
          <w:b/>
          <w:szCs w:val="24"/>
          <w:lang w:val="en-US"/>
        </w:rPr>
      </w:pPr>
      <w:r w:rsidRPr="00074FF8">
        <w:rPr>
          <w:b/>
          <w:szCs w:val="24"/>
          <w:lang w:val="en-US"/>
        </w:rPr>
        <w:t>Manufacturer’s location and address of the place of business.</w:t>
      </w:r>
    </w:p>
    <w:p w14:paraId="182EBDF1" w14:textId="77777777" w:rsidR="00074FF8" w:rsidRDefault="00074FF8" w:rsidP="00074FF8">
      <w:pPr>
        <w:spacing w:after="0"/>
        <w:rPr>
          <w:szCs w:val="24"/>
          <w:lang w:val="en-US"/>
        </w:rPr>
      </w:pPr>
      <w:r w:rsidRPr="00346638">
        <w:rPr>
          <w:szCs w:val="24"/>
          <w:lang w:val="en-US"/>
        </w:rPr>
        <w:t xml:space="preserve">SP 289 (A), RIICO </w:t>
      </w:r>
      <w:proofErr w:type="spellStart"/>
      <w:r w:rsidRPr="00346638">
        <w:rPr>
          <w:szCs w:val="24"/>
          <w:lang w:val="en-US"/>
        </w:rPr>
        <w:t>Indl</w:t>
      </w:r>
      <w:proofErr w:type="spellEnd"/>
      <w:r w:rsidRPr="00346638">
        <w:rPr>
          <w:szCs w:val="24"/>
          <w:lang w:val="en-US"/>
        </w:rPr>
        <w:t xml:space="preserve">. Area, </w:t>
      </w:r>
      <w:proofErr w:type="spellStart"/>
      <w:r w:rsidRPr="00346638">
        <w:rPr>
          <w:szCs w:val="24"/>
          <w:lang w:val="en-US"/>
        </w:rPr>
        <w:t>C</w:t>
      </w:r>
      <w:r>
        <w:rPr>
          <w:szCs w:val="24"/>
          <w:lang w:val="en-US"/>
        </w:rPr>
        <w:t>hopanki</w:t>
      </w:r>
      <w:proofErr w:type="spellEnd"/>
      <w:r>
        <w:rPr>
          <w:szCs w:val="24"/>
          <w:lang w:val="en-US"/>
        </w:rPr>
        <w:t xml:space="preserve">, </w:t>
      </w:r>
      <w:proofErr w:type="spellStart"/>
      <w:r>
        <w:rPr>
          <w:szCs w:val="24"/>
          <w:lang w:val="en-US"/>
        </w:rPr>
        <w:t>Bhiwadi</w:t>
      </w:r>
      <w:proofErr w:type="spellEnd"/>
      <w:r>
        <w:rPr>
          <w:szCs w:val="24"/>
          <w:lang w:val="en-US"/>
        </w:rPr>
        <w:t xml:space="preserve"> (Raj.), India.</w:t>
      </w:r>
    </w:p>
    <w:p w14:paraId="5439783A" w14:textId="77777777" w:rsidR="00074FF8" w:rsidRPr="00346638" w:rsidRDefault="00074FF8" w:rsidP="00074FF8">
      <w:pPr>
        <w:spacing w:after="0"/>
        <w:rPr>
          <w:szCs w:val="24"/>
          <w:lang w:val="en-US"/>
        </w:rPr>
      </w:pPr>
    </w:p>
    <w:p w14:paraId="3BC63352" w14:textId="77777777" w:rsidR="00074FF8" w:rsidRPr="00074FF8" w:rsidRDefault="00074FF8" w:rsidP="00074FF8">
      <w:pPr>
        <w:spacing w:after="0"/>
        <w:rPr>
          <w:b/>
          <w:szCs w:val="24"/>
          <w:lang w:val="en-US"/>
        </w:rPr>
      </w:pPr>
      <w:r w:rsidRPr="00074FF8">
        <w:rPr>
          <w:b/>
          <w:szCs w:val="24"/>
          <w:lang w:val="en-US"/>
        </w:rPr>
        <w:t>Last revision date.</w:t>
      </w:r>
    </w:p>
    <w:sectPr w:rsidR="00074FF8" w:rsidRPr="00074FF8" w:rsidSect="0093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2814"/>
    <w:multiLevelType w:val="hybridMultilevel"/>
    <w:tmpl w:val="9434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8D7E59"/>
    <w:multiLevelType w:val="hybridMultilevel"/>
    <w:tmpl w:val="BF9A3074"/>
    <w:lvl w:ilvl="0" w:tplc="34DA1F5E">
      <w:start w:val="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513421">
    <w:abstractNumId w:val="0"/>
  </w:num>
  <w:num w:numId="2" w16cid:durableId="45640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749F"/>
    <w:rsid w:val="000240FA"/>
    <w:rsid w:val="00034D21"/>
    <w:rsid w:val="00045452"/>
    <w:rsid w:val="00074FF8"/>
    <w:rsid w:val="00094C80"/>
    <w:rsid w:val="00167544"/>
    <w:rsid w:val="0018795A"/>
    <w:rsid w:val="001B2C53"/>
    <w:rsid w:val="00224386"/>
    <w:rsid w:val="0037578E"/>
    <w:rsid w:val="003A7531"/>
    <w:rsid w:val="004425A8"/>
    <w:rsid w:val="0056669C"/>
    <w:rsid w:val="00572B21"/>
    <w:rsid w:val="005F25D1"/>
    <w:rsid w:val="006315DC"/>
    <w:rsid w:val="006E3CC6"/>
    <w:rsid w:val="0070383F"/>
    <w:rsid w:val="007070CD"/>
    <w:rsid w:val="00734373"/>
    <w:rsid w:val="00734515"/>
    <w:rsid w:val="00781642"/>
    <w:rsid w:val="007D42C4"/>
    <w:rsid w:val="0082742A"/>
    <w:rsid w:val="00883D5A"/>
    <w:rsid w:val="008900D7"/>
    <w:rsid w:val="0089749F"/>
    <w:rsid w:val="008C2985"/>
    <w:rsid w:val="00937096"/>
    <w:rsid w:val="0096702D"/>
    <w:rsid w:val="0097507A"/>
    <w:rsid w:val="0099739F"/>
    <w:rsid w:val="00A0799C"/>
    <w:rsid w:val="00A479F0"/>
    <w:rsid w:val="00A626EA"/>
    <w:rsid w:val="00B84B0C"/>
    <w:rsid w:val="00D30DD6"/>
    <w:rsid w:val="00D84422"/>
    <w:rsid w:val="00DD03DB"/>
    <w:rsid w:val="00E81F73"/>
    <w:rsid w:val="00F6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90DE"/>
  <w15:docId w15:val="{6B4121B1-8846-4737-B803-0580E860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49F"/>
    <w:pPr>
      <w:spacing w:after="160" w:line="259"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89749F"/>
  </w:style>
  <w:style w:type="paragraph" w:styleId="a3">
    <w:name w:val="List Paragraph"/>
    <w:basedOn w:val="a"/>
    <w:uiPriority w:val="34"/>
    <w:qFormat/>
    <w:rsid w:val="0089749F"/>
    <w:pPr>
      <w:ind w:left="720"/>
      <w:contextualSpacing/>
    </w:pPr>
  </w:style>
  <w:style w:type="paragraph" w:customStyle="1" w:styleId="1">
    <w:name w:val="заголовок 1"/>
    <w:basedOn w:val="a"/>
    <w:next w:val="a"/>
    <w:rsid w:val="00A0799C"/>
    <w:pPr>
      <w:keepNext/>
      <w:autoSpaceDE w:val="0"/>
      <w:autoSpaceDN w:val="0"/>
      <w:spacing w:after="0" w:line="240" w:lineRule="auto"/>
      <w:jc w:val="center"/>
      <w:outlineLvl w:val="0"/>
    </w:pPr>
    <w:rPr>
      <w:rFonts w:ascii="Arial" w:eastAsia="Times New Roman" w:hAnsi="Arial" w:cs="Arial"/>
      <w:b/>
      <w:bCs/>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2A1458C3B26AF845B1E7FBE9F0ED9242" ma:contentTypeVersion="58" ma:contentTypeDescription="Создание документа." ma:contentTypeScope="" ma:versionID="efa9618d44a7c3efa364b8b0d740d637">
  <xsd:schema xmlns:xsd="http://www.w3.org/2001/XMLSchema" xmlns:xs="http://www.w3.org/2001/XMLSchema" xmlns:p="http://schemas.microsoft.com/office/2006/metadata/properties" xmlns:ns2="b3a21375-d62e-480e-9cb1-d44bbf5c8ebb" xmlns:ns3="1bd91e6f-3656-434e-816a-8e36a40f3c20" targetNamespace="http://schemas.microsoft.com/office/2006/metadata/properties" ma:root="true" ma:fieldsID="1fd00419599174f5cbb378c1f8ca9c36" ns2:_="" ns3:_="">
    <xsd:import namespace="b3a21375-d62e-480e-9cb1-d44bbf5c8ebb"/>
    <xsd:import namespace="1bd91e6f-3656-434e-816a-8e36a40f3c2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_x041d__x0430__x043f__x0440__x0430__x0432__x043b__x0435__x043d__x0438__x044f_" minOccurs="0"/>
                <xsd:element ref="ns3:_x0411__x0440__x0435__x043d__x0434__x044b_" minOccurs="0"/>
                <xsd:element ref="ns3:_x0422__x0438__x043f__x0020__x0434__x043e__x043a__x0443__x043c__x0435__x043d__x0442__x0430_"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x0421__x043f__x0438__x043a__x0435__x0440_" minOccurs="0"/>
                <xsd:element ref="ns3:MediaLengthInSeconds" minOccurs="0"/>
                <xsd:element ref="ns3:MediaServiceLocation" minOccurs="0"/>
                <xsd:element ref="ns3:_x042f__x0437__x044b__x043a_" minOccurs="0"/>
                <xsd:element ref="ns3:INN_x0029_" minOccurs="0"/>
                <xsd:element ref="ns3:Status" minOccurs="0"/>
                <xsd:element ref="ns3:Product_x0020_Manage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21375-d62e-480e-9cb1-d44bbf5c8ebb"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Корпоративные ключевые слова" ma:readOnly="false" ma:fieldId="{23f27201-bee3-471e-b2e7-b64fd8b7ca38}" ma:taxonomyMulti="true" ma:sspId="b7279cfa-ecda-402d-ac01-bc3e7207f240"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be5dfda-c4fa-43e0-9669-61ade66ca4bf}" ma:internalName="TaxCatchAll" ma:readOnly="false" ma:showField="CatchAllData" ma:web="b3a21375-d62e-480e-9cb1-d44bbf5c8eb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91e6f-3656-434e-816a-8e36a40f3c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_x041d__x0430__x043f__x0440__x0430__x0432__x043b__x0435__x043d__x0438__x044f_" ma:index="15" nillable="true" ma:displayName="Направления" ma:format="Dropdown" ma:list="292ad27d-1b06-4b9e-ad34-a563f89e5159" ma:internalName="_x041d__x0430__x043f__x0440__x0430__x0432__x043b__x0435__x043d__x0438__x044f_" ma:showField="Title">
      <xsd:complexType>
        <xsd:complexContent>
          <xsd:extension base="dms:MultiChoiceLookup">
            <xsd:sequence>
              <xsd:element name="Value" type="dms:Lookup" maxOccurs="unbounded" minOccurs="0" nillable="true"/>
            </xsd:sequence>
          </xsd:extension>
        </xsd:complexContent>
      </xsd:complexType>
    </xsd:element>
    <xsd:element name="_x0411__x0440__x0435__x043d__x0434__x044b_" ma:index="16" nillable="true" ma:displayName="Бренды" ma:format="Dropdown" ma:list="3b0a4e35-e3af-45d5-82df-8fb245869522" ma:internalName="_x0411__x0440__x0435__x043d__x0434__x044b_" ma:showField="Title">
      <xsd:complexType>
        <xsd:complexContent>
          <xsd:extension base="dms:MultiChoiceLookup">
            <xsd:sequence>
              <xsd:element name="Value" type="dms:Lookup" maxOccurs="unbounded" minOccurs="0" nillable="true"/>
            </xsd:sequence>
          </xsd:extension>
        </xsd:complexContent>
      </xsd:complexType>
    </xsd:element>
    <xsd:element name="_x0422__x0438__x043f__x0020__x0434__x043e__x043a__x0443__x043c__x0435__x043d__x0442__x0430_" ma:index="17" nillable="true" ma:displayName="Тип документа" ma:format="Dropdown" ma:indexed="true" ma:list="cdee49ed-b616-45e4-bebf-ce73e70c7c45" ma:internalName="_x0422__x0438__x043f__x0020__x0434__x043e__x043a__x0443__x043c__x0435__x043d__x0442__x0430_" ma:showField="Title">
      <xsd:simpleType>
        <xsd:restriction base="dms:Lookup"/>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_x0421__x043f__x0438__x043a__x0435__x0440_" ma:index="25" nillable="true" ma:displayName="Спикер" ma:description="Автор презентации" ma:internalName="_x0421__x043f__x0438__x043a__x0435__x0440_">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_x042f__x0437__x044b__x043a_" ma:index="28" nillable="true" ma:displayName="Язык" ma:description="Язык документа" ma:format="Dropdown" ma:internalName="_x042f__x0437__x044b__x043a_">
      <xsd:complexType>
        <xsd:complexContent>
          <xsd:extension base="dms:MultiChoiceFillIn">
            <xsd:sequence>
              <xsd:element name="Value" maxOccurs="unbounded" minOccurs="0" nillable="true">
                <xsd:simpleType>
                  <xsd:union memberTypes="dms:Text">
                    <xsd:simpleType>
                      <xsd:restriction base="dms:Choice">
                        <xsd:enumeration value="UK"/>
                        <xsd:enumeration value="RU"/>
                        <xsd:enumeration value="EN"/>
                      </xsd:restriction>
                    </xsd:simpleType>
                  </xsd:union>
                </xsd:simpleType>
              </xsd:element>
            </xsd:sequence>
          </xsd:extension>
        </xsd:complexContent>
      </xsd:complexType>
    </xsd:element>
    <xsd:element name="INN_x0029_" ma:index="29" nillable="true" ma:displayName="INN)" ma:description="International Nonproprietary Names" ma:format="Dropdown" ma:internalName="INN_x0029_">
      <xsd:simpleType>
        <xsd:restriction base="dms:Text">
          <xsd:maxLength value="255"/>
        </xsd:restriction>
      </xsd:simpleType>
    </xsd:element>
    <xsd:element name="Status" ma:index="30" nillable="true" ma:displayName="Status" ma:format="Dropdown" ma:internalName="Status">
      <xsd:complexType>
        <xsd:complexContent>
          <xsd:extension base="dms:MultiChoice">
            <xsd:sequence>
              <xsd:element name="Value" maxOccurs="unbounded" minOccurs="0" nillable="true">
                <xsd:simpleType>
                  <xsd:restriction base="dms:Choice">
                    <xsd:enumeration value="OTC"/>
                    <xsd:enumeration value="RX"/>
                  </xsd:restriction>
                </xsd:simpleType>
              </xsd:element>
            </xsd:sequence>
          </xsd:extension>
        </xsd:complexContent>
      </xsd:complexType>
    </xsd:element>
    <xsd:element name="Product_x0020_Manager" ma:index="31" nillable="true" ma:displayName="Product Manager" ma:format="Dropdown" ma:internalName="Product_x0020_Manager">
      <xsd:complexType>
        <xsd:complexContent>
          <xsd:extension base="dms:MultiChoiceFillIn">
            <xsd:sequence>
              <xsd:element name="Value" maxOccurs="unbounded" minOccurs="0" nillable="true">
                <xsd:simpleType>
                  <xsd:union memberTypes="dms:Text">
                    <xsd:simpleType>
                      <xsd:restriction base="dms:Choice">
                        <xsd:enumeration value="Malatcheva Maryna"/>
                        <xsd:enumeration value="Alieksieieva Olena"/>
                        <xsd:enumeration value="Alekseiev Oleksandr"/>
                        <xsd:enumeration value="Grebeniuk Anzhelika"/>
                        <xsd:enumeration value="Ishutkin Oleksandr"/>
                        <xsd:enumeration value="Omelianenko Nataliia"/>
                        <xsd:enumeration value="Pronko Ivan"/>
                        <xsd:enumeration value="Raichenko Trokhym"/>
                        <xsd:enumeration value="Khmel Nadiia"/>
                        <xsd:enumeration value="Olianova Khrystyna"/>
                        <xsd:enumeration value="Kondratenko Alina"/>
                        <xsd:enumeration value="Bilyk Viktoriya"/>
                        <xsd:enumeration value="Finishyna Maryna"/>
                        <xsd:enumeration value="Zaporozhska Nataliya"/>
                        <xsd:enumeration value="Chuba Pavlo"/>
                        <xsd:enumeration value="Tretyak Alla"/>
                        <xsd:enumeration value="Merezhko Olha"/>
                        <xsd:enumeration value="Drapohuz Serhii"/>
                        <xsd:enumeration value="Sokolianska-Kiba Natalia"/>
                        <xsd:enumeration value="Kondratenko Tetiana"/>
                        <xsd:enumeration value="Kosenkov Volodymyr"/>
                      </xsd:restriction>
                    </xsd:simpleType>
                  </xsd:union>
                </xsd:simpleType>
              </xsd:element>
            </xsd:sequence>
          </xsd:extension>
        </xsd:complexContent>
      </xsd:complexType>
    </xsd:element>
    <xsd:element name="lcf76f155ced4ddcb4097134ff3c332f" ma:index="33" nillable="true" ma:taxonomy="true" ma:internalName="lcf76f155ced4ddcb4097134ff3c332f" ma:taxonomyFieldName="MediaServiceImageTags" ma:displayName="Теги изображений" ma:readOnly="false" ma:fieldId="{5cf76f15-5ced-4ddc-b409-7134ff3c332f}" ma:taxonomyMulti="true" ma:sspId="b7279cfa-ecda-402d-ac01-bc3e7207f2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d__x0430__x043f__x0440__x0430__x0432__x043b__x0435__x043d__x0438__x044f_ xmlns="1bd91e6f-3656-434e-816a-8e36a40f3c20" xsi:nil="true"/>
    <Product_x0020_Manager xmlns="1bd91e6f-3656-434e-816a-8e36a40f3c20" xsi:nil="true"/>
    <TaxKeywordTaxHTField xmlns="b3a21375-d62e-480e-9cb1-d44bbf5c8ebb">
      <Terms xmlns="http://schemas.microsoft.com/office/infopath/2007/PartnerControls"/>
    </TaxKeywordTaxHTField>
    <INN_x0029_ xmlns="1bd91e6f-3656-434e-816a-8e36a40f3c20" xsi:nil="true"/>
    <TaxCatchAll xmlns="b3a21375-d62e-480e-9cb1-d44bbf5c8ebb" xsi:nil="true"/>
    <lcf76f155ced4ddcb4097134ff3c332f xmlns="1bd91e6f-3656-434e-816a-8e36a40f3c20">
      <Terms xmlns="http://schemas.microsoft.com/office/infopath/2007/PartnerControls"/>
    </lcf76f155ced4ddcb4097134ff3c332f>
    <_x042f__x0437__x044b__x043a_ xmlns="1bd91e6f-3656-434e-816a-8e36a40f3c20" xsi:nil="true"/>
    <_x0421__x043f__x0438__x043a__x0435__x0440_ xmlns="1bd91e6f-3656-434e-816a-8e36a40f3c20" xsi:nil="true"/>
    <_x0411__x0440__x0435__x043d__x0434__x044b_ xmlns="1bd91e6f-3656-434e-816a-8e36a40f3c20" xsi:nil="true"/>
    <_x0422__x0438__x043f__x0020__x0434__x043e__x043a__x0443__x043c__x0435__x043d__x0442__x0430_ xmlns="1bd91e6f-3656-434e-816a-8e36a40f3c20" xsi:nil="true"/>
    <Status xmlns="1bd91e6f-3656-434e-816a-8e36a40f3c20" xsi:nil="true"/>
  </documentManagement>
</p:properties>
</file>

<file path=customXml/itemProps1.xml><?xml version="1.0" encoding="utf-8"?>
<ds:datastoreItem xmlns:ds="http://schemas.openxmlformats.org/officeDocument/2006/customXml" ds:itemID="{FE75FC17-1471-4CAF-8474-F0DCD15C8225}">
  <ds:schemaRefs>
    <ds:schemaRef ds:uri="http://schemas.openxmlformats.org/officeDocument/2006/bibliography"/>
  </ds:schemaRefs>
</ds:datastoreItem>
</file>

<file path=customXml/itemProps2.xml><?xml version="1.0" encoding="utf-8"?>
<ds:datastoreItem xmlns:ds="http://schemas.openxmlformats.org/officeDocument/2006/customXml" ds:itemID="{26CAC6A4-AD7F-4FD5-80B2-E190F1C5BC81}"/>
</file>

<file path=customXml/itemProps3.xml><?xml version="1.0" encoding="utf-8"?>
<ds:datastoreItem xmlns:ds="http://schemas.openxmlformats.org/officeDocument/2006/customXml" ds:itemID="{5A8D3AE7-64E9-40C4-817D-102492A9818E}"/>
</file>

<file path=customXml/itemProps4.xml><?xml version="1.0" encoding="utf-8"?>
<ds:datastoreItem xmlns:ds="http://schemas.openxmlformats.org/officeDocument/2006/customXml" ds:itemID="{9B8C0219-7814-42AE-960F-C2BB59E69C4C}"/>
</file>

<file path=docProps/app.xml><?xml version="1.0" encoding="utf-8"?>
<Properties xmlns="http://schemas.openxmlformats.org/officeDocument/2006/extended-properties" xmlns:vt="http://schemas.openxmlformats.org/officeDocument/2006/docPropsVTypes">
  <Template>Normal</Template>
  <TotalTime>191</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GladPharm</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Prizimirskaya.Tamara</dc:creator>
  <cp:lastModifiedBy>Kononchenko Iryna</cp:lastModifiedBy>
  <cp:revision>5</cp:revision>
  <dcterms:created xsi:type="dcterms:W3CDTF">2018-05-15T19:05:00Z</dcterms:created>
  <dcterms:modified xsi:type="dcterms:W3CDTF">2022-07-29T13:03:00Z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0x0101002A1458C3B26AF845B1E7FBE9F0ED9242</vt:lpwstr>
  </property>
</Properties>
</file>