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362"/>
      </w:tblGrid>
      <w:tr w:rsidR="0089749F" w:rsidRPr="008C2985" w14:paraId="6021171C" w14:textId="77777777" w:rsidTr="0099739F">
        <w:trPr>
          <w:jc w:val="right"/>
        </w:trPr>
        <w:tc>
          <w:tcPr>
            <w:tcW w:w="3362" w:type="dxa"/>
          </w:tcPr>
          <w:p w14:paraId="4286D648" w14:textId="77777777" w:rsidR="0089749F" w:rsidRPr="00A77FCC" w:rsidRDefault="00A77FCC" w:rsidP="0099739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outlineLvl w:val="1"/>
              <w:rPr>
                <w:rFonts w:eastAsia="MS Mincho"/>
                <w:b/>
                <w:bCs/>
                <w:spacing w:val="-2"/>
                <w:szCs w:val="24"/>
                <w:lang w:val="ru-RU" w:eastAsia="ru-RU"/>
              </w:rPr>
            </w:pPr>
            <w:r>
              <w:rPr>
                <w:rFonts w:eastAsia="MS Mincho"/>
                <w:b/>
                <w:bCs/>
                <w:spacing w:val="-2"/>
                <w:szCs w:val="24"/>
                <w:lang w:val="ru-RU" w:eastAsia="ru-RU"/>
              </w:rPr>
              <w:t>У</w:t>
            </w:r>
            <w:r w:rsidRPr="00A77FCC">
              <w:rPr>
                <w:rFonts w:eastAsia="MS Mincho"/>
                <w:b/>
                <w:bCs/>
                <w:spacing w:val="-2"/>
                <w:szCs w:val="24"/>
                <w:lang w:val="ru-RU" w:eastAsia="ru-RU"/>
              </w:rPr>
              <w:t>ТВЕРЖДЕНО</w:t>
            </w:r>
          </w:p>
          <w:p w14:paraId="49D76584" w14:textId="77777777" w:rsidR="0089749F" w:rsidRPr="00A77FCC" w:rsidRDefault="00A77FCC" w:rsidP="0099739F">
            <w:pPr>
              <w:shd w:val="clear" w:color="auto" w:fill="FFFFFF"/>
              <w:spacing w:after="0" w:line="288" w:lineRule="exact"/>
              <w:ind w:right="10"/>
              <w:jc w:val="center"/>
              <w:rPr>
                <w:rFonts w:eastAsia="MS Mincho"/>
                <w:szCs w:val="24"/>
                <w:lang w:val="ru-RU" w:eastAsia="ru-RU"/>
              </w:rPr>
            </w:pPr>
            <w:r>
              <w:rPr>
                <w:rFonts w:eastAsia="MS Mincho"/>
                <w:b/>
                <w:bCs/>
                <w:spacing w:val="-1"/>
                <w:szCs w:val="24"/>
                <w:lang w:val="ru-RU" w:eastAsia="ru-RU"/>
              </w:rPr>
              <w:t>Приказ</w:t>
            </w:r>
            <w:r w:rsidR="0089749F" w:rsidRPr="00A77FCC">
              <w:rPr>
                <w:rFonts w:eastAsia="MS Mincho"/>
                <w:b/>
                <w:bCs/>
                <w:spacing w:val="-1"/>
                <w:szCs w:val="24"/>
                <w:lang w:val="ru-RU" w:eastAsia="ru-RU"/>
              </w:rPr>
              <w:t xml:space="preserve"> М</w:t>
            </w:r>
            <w:r>
              <w:rPr>
                <w:rFonts w:eastAsia="MS Mincho"/>
                <w:b/>
                <w:bCs/>
                <w:spacing w:val="-1"/>
                <w:szCs w:val="24"/>
                <w:lang w:val="ru-RU" w:eastAsia="ru-RU"/>
              </w:rPr>
              <w:t>ини</w:t>
            </w:r>
            <w:r w:rsidR="0089749F" w:rsidRPr="00A77FCC">
              <w:rPr>
                <w:rFonts w:eastAsia="MS Mincho"/>
                <w:b/>
                <w:bCs/>
                <w:spacing w:val="-1"/>
                <w:szCs w:val="24"/>
                <w:lang w:val="ru-RU" w:eastAsia="ru-RU"/>
              </w:rPr>
              <w:t>стерства</w:t>
            </w:r>
            <w:r w:rsidR="0099739F" w:rsidRPr="00A77FCC">
              <w:rPr>
                <w:rFonts w:eastAsia="MS Mincho"/>
                <w:b/>
                <w:bCs/>
                <w:spacing w:val="-1"/>
                <w:szCs w:val="24"/>
                <w:lang w:val="ru-RU" w:eastAsia="ru-RU"/>
              </w:rPr>
              <w:t xml:space="preserve"> </w:t>
            </w:r>
            <w:r>
              <w:rPr>
                <w:rFonts w:eastAsia="MS Mincho"/>
                <w:b/>
                <w:bCs/>
                <w:spacing w:val="-3"/>
                <w:szCs w:val="24"/>
                <w:lang w:val="ru-RU" w:eastAsia="ru-RU"/>
              </w:rPr>
              <w:t>здравоохранения Украи</w:t>
            </w:r>
            <w:r w:rsidR="0089749F" w:rsidRPr="00A77FCC">
              <w:rPr>
                <w:rFonts w:eastAsia="MS Mincho"/>
                <w:b/>
                <w:bCs/>
                <w:spacing w:val="-3"/>
                <w:szCs w:val="24"/>
                <w:lang w:val="ru-RU" w:eastAsia="ru-RU"/>
              </w:rPr>
              <w:t>н</w:t>
            </w:r>
            <w:r>
              <w:rPr>
                <w:rFonts w:eastAsia="MS Mincho"/>
                <w:b/>
                <w:bCs/>
                <w:spacing w:val="-3"/>
                <w:szCs w:val="24"/>
                <w:lang w:val="ru-RU" w:eastAsia="ru-RU"/>
              </w:rPr>
              <w:t>ы</w:t>
            </w:r>
          </w:p>
          <w:p w14:paraId="675E5F3A" w14:textId="77777777" w:rsidR="0089749F" w:rsidRPr="00A77FCC" w:rsidRDefault="0018795A" w:rsidP="0099739F">
            <w:pPr>
              <w:shd w:val="clear" w:color="auto" w:fill="FFFFFF"/>
              <w:tabs>
                <w:tab w:val="left" w:pos="1900"/>
                <w:tab w:val="left" w:leader="underscore" w:pos="7584"/>
                <w:tab w:val="left" w:leader="underscore" w:pos="9379"/>
              </w:tabs>
              <w:spacing w:after="0" w:line="288" w:lineRule="exact"/>
              <w:jc w:val="center"/>
              <w:rPr>
                <w:rFonts w:eastAsia="MS Mincho"/>
                <w:b/>
                <w:szCs w:val="24"/>
                <w:lang w:val="ru-RU" w:eastAsia="ru-RU"/>
              </w:rPr>
            </w:pPr>
            <w:r w:rsidRPr="00A77FCC">
              <w:rPr>
                <w:rFonts w:eastAsia="MS Mincho"/>
                <w:b/>
                <w:bCs/>
                <w:szCs w:val="24"/>
                <w:lang w:val="ru-RU" w:eastAsia="ru-RU"/>
              </w:rPr>
              <w:t>01.08.2017</w:t>
            </w:r>
            <w:r w:rsidR="0089749F" w:rsidRPr="00A77FCC">
              <w:rPr>
                <w:rFonts w:eastAsia="MS Mincho"/>
                <w:b/>
                <w:bCs/>
                <w:szCs w:val="24"/>
                <w:lang w:val="ru-RU" w:eastAsia="ru-RU"/>
              </w:rPr>
              <w:t xml:space="preserve"> № </w:t>
            </w:r>
            <w:r w:rsidRPr="00A77FCC">
              <w:rPr>
                <w:rFonts w:eastAsia="MS Mincho"/>
                <w:b/>
                <w:bCs/>
                <w:szCs w:val="24"/>
                <w:lang w:val="ru-RU" w:eastAsia="ru-RU"/>
              </w:rPr>
              <w:t>887</w:t>
            </w:r>
            <w:r w:rsidR="0089749F" w:rsidRPr="00A77FCC">
              <w:rPr>
                <w:rFonts w:eastAsia="MS Mincho"/>
                <w:b/>
                <w:bCs/>
                <w:szCs w:val="24"/>
                <w:lang w:val="ru-RU" w:eastAsia="ru-RU"/>
              </w:rPr>
              <w:t xml:space="preserve"> </w:t>
            </w:r>
          </w:p>
          <w:p w14:paraId="218DE7BB" w14:textId="77777777" w:rsidR="0089749F" w:rsidRDefault="00A77FCC" w:rsidP="0099739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outlineLvl w:val="1"/>
              <w:rPr>
                <w:rFonts w:eastAsia="MS Mincho"/>
                <w:b/>
                <w:color w:val="000000"/>
                <w:spacing w:val="-2"/>
                <w:szCs w:val="24"/>
                <w:lang w:val="ru-RU" w:eastAsia="ru-RU"/>
              </w:rPr>
            </w:pPr>
            <w:r>
              <w:rPr>
                <w:rFonts w:eastAsia="MS Mincho"/>
                <w:b/>
                <w:bCs/>
                <w:spacing w:val="-3"/>
                <w:szCs w:val="24"/>
                <w:lang w:val="ru-RU" w:eastAsia="ru-RU"/>
              </w:rPr>
              <w:t>Р</w:t>
            </w:r>
            <w:r w:rsidRPr="00A77FCC">
              <w:rPr>
                <w:rFonts w:eastAsia="MS Mincho"/>
                <w:b/>
                <w:bCs/>
                <w:spacing w:val="-3"/>
                <w:szCs w:val="24"/>
                <w:lang w:val="ru-RU" w:eastAsia="ru-RU"/>
              </w:rPr>
              <w:t>егистрационное удостоверение</w:t>
            </w:r>
            <w:r>
              <w:rPr>
                <w:rFonts w:eastAsia="MS Mincho"/>
                <w:b/>
                <w:bCs/>
                <w:spacing w:val="-3"/>
                <w:szCs w:val="24"/>
                <w:lang w:val="ru-RU" w:eastAsia="ru-RU"/>
              </w:rPr>
              <w:t xml:space="preserve"> </w:t>
            </w:r>
            <w:r w:rsidR="0089749F" w:rsidRPr="00A77FCC">
              <w:rPr>
                <w:rFonts w:eastAsia="MS Mincho"/>
                <w:b/>
                <w:color w:val="000000"/>
                <w:spacing w:val="-2"/>
                <w:szCs w:val="24"/>
                <w:lang w:val="ru-RU" w:eastAsia="ru-RU"/>
              </w:rPr>
              <w:t>№</w:t>
            </w:r>
            <w:r>
              <w:rPr>
                <w:rFonts w:eastAsia="MS Mincho"/>
                <w:b/>
                <w:color w:val="000000"/>
                <w:spacing w:val="-2"/>
                <w:szCs w:val="24"/>
                <w:lang w:val="ru-RU" w:eastAsia="ru-RU"/>
              </w:rPr>
              <w:t> </w:t>
            </w:r>
            <w:r w:rsidR="0018795A" w:rsidRPr="00A77FCC">
              <w:rPr>
                <w:rFonts w:eastAsia="MS Mincho"/>
                <w:b/>
                <w:color w:val="000000"/>
                <w:spacing w:val="-2"/>
                <w:szCs w:val="24"/>
                <w:lang w:val="ru-RU" w:eastAsia="ru-RU"/>
              </w:rPr>
              <w:t>UA/0081/02/01</w:t>
            </w:r>
          </w:p>
          <w:p w14:paraId="501BCFE5" w14:textId="77777777" w:rsidR="000D068B" w:rsidRPr="000D068B" w:rsidRDefault="000D068B" w:rsidP="000D06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outlineLvl w:val="1"/>
              <w:rPr>
                <w:rFonts w:eastAsia="MS Mincho"/>
                <w:b/>
                <w:bCs/>
                <w:spacing w:val="-2"/>
                <w:szCs w:val="24"/>
                <w:lang w:val="en-US" w:eastAsia="ru-RU"/>
              </w:rPr>
            </w:pPr>
          </w:p>
          <w:p w14:paraId="560371F6" w14:textId="77777777" w:rsidR="000D068B" w:rsidRPr="000D068B" w:rsidRDefault="000D068B" w:rsidP="000D06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outlineLvl w:val="1"/>
              <w:rPr>
                <w:rFonts w:eastAsia="MS Mincho"/>
                <w:b/>
                <w:bCs/>
                <w:spacing w:val="-2"/>
                <w:szCs w:val="24"/>
                <w:lang w:val="ru-RU" w:eastAsia="ru-RU"/>
              </w:rPr>
            </w:pPr>
            <w:r w:rsidRPr="000D068B">
              <w:rPr>
                <w:rFonts w:eastAsia="MS Mincho"/>
                <w:b/>
                <w:bCs/>
                <w:spacing w:val="-2"/>
                <w:szCs w:val="24"/>
                <w:lang w:val="ru-RU" w:eastAsia="ru-RU"/>
              </w:rPr>
              <w:t>ИЗМЕНЕНИЯ ВНЕСЕНЫ</w:t>
            </w:r>
          </w:p>
          <w:p w14:paraId="5D37D3A4" w14:textId="77777777" w:rsidR="000D068B" w:rsidRPr="000D068B" w:rsidRDefault="000D068B" w:rsidP="000D06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outlineLvl w:val="1"/>
              <w:rPr>
                <w:rFonts w:eastAsia="MS Mincho"/>
                <w:b/>
                <w:bCs/>
                <w:spacing w:val="-2"/>
                <w:szCs w:val="24"/>
                <w:lang w:val="ru-RU" w:eastAsia="ru-RU"/>
              </w:rPr>
            </w:pPr>
            <w:r w:rsidRPr="000D068B">
              <w:rPr>
                <w:rFonts w:eastAsia="MS Mincho"/>
                <w:b/>
                <w:bCs/>
                <w:spacing w:val="-2"/>
                <w:szCs w:val="24"/>
                <w:lang w:val="ru-RU" w:eastAsia="ru-RU"/>
              </w:rPr>
              <w:t>Приказ Министерства</w:t>
            </w:r>
          </w:p>
          <w:p w14:paraId="41BF1C49" w14:textId="77777777" w:rsidR="000D068B" w:rsidRPr="000D068B" w:rsidRDefault="000D068B" w:rsidP="000D06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outlineLvl w:val="1"/>
              <w:rPr>
                <w:rFonts w:eastAsia="MS Mincho"/>
                <w:b/>
                <w:bCs/>
                <w:spacing w:val="-2"/>
                <w:szCs w:val="24"/>
                <w:lang w:val="ru-RU" w:eastAsia="ru-RU"/>
              </w:rPr>
            </w:pPr>
            <w:r w:rsidRPr="000D068B">
              <w:rPr>
                <w:rFonts w:eastAsia="MS Mincho"/>
                <w:b/>
                <w:bCs/>
                <w:spacing w:val="-2"/>
                <w:szCs w:val="24"/>
                <w:lang w:val="ru-RU" w:eastAsia="ru-RU"/>
              </w:rPr>
              <w:t>здравоохранения Украины</w:t>
            </w:r>
          </w:p>
          <w:p w14:paraId="2A7831F4" w14:textId="1F37E918" w:rsidR="000D068B" w:rsidRPr="0018795A" w:rsidRDefault="000D068B" w:rsidP="000D06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outlineLvl w:val="1"/>
              <w:rPr>
                <w:rFonts w:eastAsia="MS Mincho"/>
                <w:b/>
                <w:bCs/>
                <w:spacing w:val="-2"/>
                <w:szCs w:val="24"/>
                <w:lang w:val="en-US" w:eastAsia="ru-RU"/>
              </w:rPr>
            </w:pPr>
            <w:r>
              <w:rPr>
                <w:rFonts w:eastAsia="MS Mincho"/>
                <w:b/>
                <w:bCs/>
                <w:spacing w:val="-2"/>
                <w:szCs w:val="24"/>
                <w:lang w:val="en-US" w:eastAsia="ru-RU"/>
              </w:rPr>
              <w:t>02</w:t>
            </w:r>
            <w:r w:rsidRPr="000D068B">
              <w:rPr>
                <w:rFonts w:eastAsia="MS Mincho"/>
                <w:b/>
                <w:bCs/>
                <w:spacing w:val="-2"/>
                <w:szCs w:val="24"/>
                <w:lang w:val="en-US" w:eastAsia="ru-RU"/>
              </w:rPr>
              <w:t>.</w:t>
            </w:r>
            <w:r>
              <w:rPr>
                <w:rFonts w:eastAsia="MS Mincho"/>
                <w:b/>
                <w:bCs/>
                <w:spacing w:val="-2"/>
                <w:szCs w:val="24"/>
                <w:lang w:val="en-US" w:eastAsia="ru-RU"/>
              </w:rPr>
              <w:t>12</w:t>
            </w:r>
            <w:r w:rsidRPr="000D068B">
              <w:rPr>
                <w:rFonts w:eastAsia="MS Mincho"/>
                <w:b/>
                <w:bCs/>
                <w:spacing w:val="-2"/>
                <w:szCs w:val="24"/>
                <w:lang w:val="en-US" w:eastAsia="ru-RU"/>
              </w:rPr>
              <w:t xml:space="preserve">.2021 № </w:t>
            </w:r>
            <w:r>
              <w:rPr>
                <w:rFonts w:eastAsia="MS Mincho"/>
                <w:b/>
                <w:bCs/>
                <w:spacing w:val="-2"/>
                <w:szCs w:val="24"/>
                <w:lang w:val="en-US" w:eastAsia="ru-RU"/>
              </w:rPr>
              <w:t>2690</w:t>
            </w:r>
          </w:p>
        </w:tc>
      </w:tr>
    </w:tbl>
    <w:p w14:paraId="70807339" w14:textId="77777777" w:rsidR="0089749F" w:rsidRPr="008C2985" w:rsidRDefault="0089749F" w:rsidP="0089749F">
      <w:pPr>
        <w:spacing w:after="0" w:line="240" w:lineRule="auto"/>
        <w:jc w:val="left"/>
        <w:rPr>
          <w:rFonts w:eastAsia="MS Mincho"/>
          <w:szCs w:val="24"/>
          <w:lang w:eastAsia="ru-RU"/>
        </w:rPr>
      </w:pPr>
    </w:p>
    <w:p w14:paraId="0AD13AAF" w14:textId="77777777" w:rsidR="0089749F" w:rsidRPr="00A77FCC" w:rsidRDefault="0089749F" w:rsidP="0089749F">
      <w:pPr>
        <w:keepNext/>
        <w:spacing w:after="60" w:line="240" w:lineRule="auto"/>
        <w:ind w:left="-360"/>
        <w:jc w:val="center"/>
        <w:outlineLvl w:val="0"/>
        <w:rPr>
          <w:rFonts w:eastAsia="MS Mincho"/>
          <w:b/>
          <w:bCs/>
          <w:kern w:val="32"/>
          <w:szCs w:val="24"/>
          <w:lang w:val="ru-RU" w:eastAsia="ru-RU"/>
        </w:rPr>
      </w:pPr>
    </w:p>
    <w:p w14:paraId="17C5117C" w14:textId="77777777" w:rsidR="0089749F" w:rsidRPr="00A77FCC" w:rsidRDefault="00A77FCC" w:rsidP="0089749F">
      <w:pPr>
        <w:keepNext/>
        <w:spacing w:after="60" w:line="240" w:lineRule="auto"/>
        <w:jc w:val="center"/>
        <w:outlineLvl w:val="0"/>
        <w:rPr>
          <w:rFonts w:eastAsia="MS Mincho"/>
          <w:b/>
          <w:bCs/>
          <w:kern w:val="32"/>
          <w:szCs w:val="24"/>
          <w:lang w:val="ru-RU" w:eastAsia="ru-RU"/>
        </w:rPr>
      </w:pPr>
      <w:r>
        <w:rPr>
          <w:rFonts w:eastAsia="MS Mincho"/>
          <w:b/>
          <w:bCs/>
          <w:kern w:val="32"/>
          <w:szCs w:val="24"/>
          <w:lang w:val="ru-RU" w:eastAsia="ru-RU"/>
        </w:rPr>
        <w:t>ИНСТРУКЦИЯ</w:t>
      </w:r>
    </w:p>
    <w:p w14:paraId="7E3C8794" w14:textId="77777777" w:rsidR="0089749F" w:rsidRPr="00A77FCC" w:rsidRDefault="0089749F" w:rsidP="0089749F">
      <w:pPr>
        <w:shd w:val="clear" w:color="auto" w:fill="FFFFFF"/>
        <w:spacing w:after="0" w:line="240" w:lineRule="auto"/>
        <w:jc w:val="center"/>
        <w:rPr>
          <w:rFonts w:eastAsia="MS Mincho"/>
          <w:b/>
          <w:bCs/>
          <w:szCs w:val="24"/>
          <w:lang w:val="ru-RU" w:eastAsia="ru-RU"/>
        </w:rPr>
      </w:pPr>
      <w:r w:rsidRPr="00A77FCC">
        <w:rPr>
          <w:rFonts w:eastAsia="MS Mincho"/>
          <w:b/>
          <w:bCs/>
          <w:szCs w:val="24"/>
          <w:lang w:val="ru-RU" w:eastAsia="ru-RU"/>
        </w:rPr>
        <w:t>для меди</w:t>
      </w:r>
      <w:r w:rsidR="00A77FCC">
        <w:rPr>
          <w:rFonts w:eastAsia="MS Mincho"/>
          <w:b/>
          <w:bCs/>
          <w:szCs w:val="24"/>
          <w:lang w:val="ru-RU" w:eastAsia="ru-RU"/>
        </w:rPr>
        <w:t xml:space="preserve">цинского </w:t>
      </w:r>
      <w:r w:rsidR="00A77FCC" w:rsidRPr="00A77FCC">
        <w:rPr>
          <w:rFonts w:eastAsia="MS Mincho"/>
          <w:b/>
          <w:bCs/>
          <w:szCs w:val="24"/>
          <w:lang w:val="ru-RU" w:eastAsia="ru-RU"/>
        </w:rPr>
        <w:t>применения лекарственного средства</w:t>
      </w:r>
    </w:p>
    <w:p w14:paraId="732A282E" w14:textId="77777777" w:rsidR="0089749F" w:rsidRPr="00A77FCC" w:rsidRDefault="0089749F" w:rsidP="0089749F">
      <w:pPr>
        <w:shd w:val="clear" w:color="auto" w:fill="FFFFFF"/>
        <w:spacing w:after="0" w:line="240" w:lineRule="auto"/>
        <w:jc w:val="center"/>
        <w:rPr>
          <w:rFonts w:eastAsia="MS Mincho"/>
          <w:b/>
          <w:bCs/>
          <w:szCs w:val="24"/>
          <w:lang w:val="ru-RU" w:eastAsia="ru-RU"/>
        </w:rPr>
      </w:pPr>
    </w:p>
    <w:p w14:paraId="335470D0" w14:textId="77777777" w:rsidR="0089749F" w:rsidRPr="00A77FCC" w:rsidRDefault="0089749F" w:rsidP="0089749F">
      <w:pPr>
        <w:shd w:val="clear" w:color="auto" w:fill="FFFFFF"/>
        <w:spacing w:after="0" w:line="240" w:lineRule="auto"/>
        <w:jc w:val="center"/>
        <w:rPr>
          <w:rFonts w:eastAsia="MS Mincho"/>
          <w:b/>
          <w:bCs/>
          <w:szCs w:val="24"/>
          <w:lang w:val="ru-RU" w:eastAsia="ru-RU"/>
        </w:rPr>
      </w:pPr>
      <w:r w:rsidRPr="00A77FCC">
        <w:rPr>
          <w:rFonts w:eastAsia="MS Mincho"/>
          <w:b/>
          <w:bCs/>
          <w:szCs w:val="24"/>
          <w:lang w:val="ru-RU" w:eastAsia="ru-RU"/>
        </w:rPr>
        <w:t>ФОРКАЛ</w:t>
      </w:r>
      <w:r w:rsidRPr="00A77FCC">
        <w:rPr>
          <w:rFonts w:eastAsia="MS Mincho"/>
          <w:b/>
          <w:bCs/>
          <w:szCs w:val="24"/>
          <w:vertAlign w:val="superscript"/>
          <w:lang w:val="ru-RU" w:eastAsia="ru-RU"/>
        </w:rPr>
        <w:t>®</w:t>
      </w:r>
    </w:p>
    <w:p w14:paraId="49789808" w14:textId="77777777" w:rsidR="0089749F" w:rsidRPr="00A77FCC" w:rsidRDefault="0089749F" w:rsidP="0089749F">
      <w:pPr>
        <w:shd w:val="clear" w:color="auto" w:fill="FFFFFF"/>
        <w:spacing w:after="0" w:line="240" w:lineRule="auto"/>
        <w:jc w:val="center"/>
        <w:rPr>
          <w:rFonts w:eastAsia="MS Mincho"/>
          <w:b/>
          <w:bCs/>
          <w:szCs w:val="24"/>
          <w:lang w:val="ru-RU" w:eastAsia="ru-RU"/>
        </w:rPr>
      </w:pPr>
      <w:r w:rsidRPr="00A77FCC">
        <w:rPr>
          <w:rFonts w:eastAsia="MS Mincho"/>
          <w:b/>
          <w:bCs/>
          <w:szCs w:val="24"/>
          <w:lang w:val="ru-RU" w:eastAsia="ru-RU"/>
        </w:rPr>
        <w:t>(PHORCAL</w:t>
      </w:r>
      <w:r w:rsidRPr="00A77FCC">
        <w:rPr>
          <w:rFonts w:eastAsia="MS Mincho"/>
          <w:b/>
          <w:bCs/>
          <w:szCs w:val="24"/>
          <w:vertAlign w:val="superscript"/>
          <w:lang w:val="ru-RU" w:eastAsia="ru-RU"/>
        </w:rPr>
        <w:t>®</w:t>
      </w:r>
      <w:r w:rsidRPr="00A77FCC">
        <w:rPr>
          <w:rFonts w:eastAsia="MS Mincho"/>
          <w:b/>
          <w:bCs/>
          <w:szCs w:val="24"/>
          <w:lang w:val="ru-RU" w:eastAsia="ru-RU"/>
        </w:rPr>
        <w:t>)</w:t>
      </w:r>
    </w:p>
    <w:p w14:paraId="326D34C9" w14:textId="77777777" w:rsid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</w:p>
    <w:p w14:paraId="228EE09B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/>
          <w:bCs/>
          <w:i/>
          <w:szCs w:val="24"/>
          <w:lang w:val="ru-RU" w:eastAsia="ru-RU"/>
        </w:rPr>
      </w:pPr>
      <w:r w:rsidRPr="00525D75">
        <w:rPr>
          <w:rFonts w:eastAsia="MS Mincho"/>
          <w:b/>
          <w:bCs/>
          <w:i/>
          <w:szCs w:val="24"/>
          <w:lang w:val="ru-RU" w:eastAsia="ru-RU"/>
        </w:rPr>
        <w:t>Состав:</w:t>
      </w:r>
    </w:p>
    <w:p w14:paraId="5E4B6F20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525D75">
        <w:rPr>
          <w:rFonts w:eastAsia="MS Mincho"/>
          <w:bCs/>
          <w:i/>
          <w:szCs w:val="24"/>
          <w:lang w:val="ru-RU" w:eastAsia="ru-RU"/>
        </w:rPr>
        <w:t>действующее вещество:</w:t>
      </w:r>
      <w:r w:rsidRPr="00525D75">
        <w:rPr>
          <w:rFonts w:eastAsia="MS Mincho"/>
          <w:bCs/>
          <w:szCs w:val="24"/>
          <w:lang w:val="ru-RU" w:eastAsia="ru-RU"/>
        </w:rPr>
        <w:t xml:space="preserve"> кальцитриол (calcitriol)</w:t>
      </w:r>
      <w:r>
        <w:rPr>
          <w:rFonts w:eastAsia="MS Mincho"/>
          <w:bCs/>
          <w:szCs w:val="24"/>
          <w:lang w:val="ru-RU" w:eastAsia="ru-RU"/>
        </w:rPr>
        <w:t>;</w:t>
      </w:r>
    </w:p>
    <w:p w14:paraId="0EF31025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525D75">
        <w:rPr>
          <w:rFonts w:eastAsia="MS Mincho"/>
          <w:bCs/>
          <w:szCs w:val="24"/>
          <w:lang w:val="ru-RU" w:eastAsia="ru-RU"/>
        </w:rPr>
        <w:t>1 г мази содержит кальцитриола 3 мкг</w:t>
      </w:r>
      <w:r>
        <w:rPr>
          <w:rFonts w:eastAsia="MS Mincho"/>
          <w:bCs/>
          <w:szCs w:val="24"/>
          <w:lang w:val="ru-RU" w:eastAsia="ru-RU"/>
        </w:rPr>
        <w:t>;</w:t>
      </w:r>
    </w:p>
    <w:p w14:paraId="1DBF160A" w14:textId="0B92BB1F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525D75">
        <w:rPr>
          <w:rFonts w:eastAsia="MS Mincho"/>
          <w:bCs/>
          <w:i/>
          <w:szCs w:val="24"/>
          <w:lang w:val="ru-RU" w:eastAsia="ru-RU"/>
        </w:rPr>
        <w:t>вспомогательные вещества:</w:t>
      </w:r>
      <w:r w:rsidRPr="00525D75">
        <w:rPr>
          <w:rFonts w:eastAsia="MS Mincho"/>
          <w:bCs/>
          <w:szCs w:val="24"/>
          <w:lang w:val="ru-RU" w:eastAsia="ru-RU"/>
        </w:rPr>
        <w:t xml:space="preserve"> парафин белый мягкий, масло минеральное легкое, альфа-токоферол.</w:t>
      </w:r>
    </w:p>
    <w:p w14:paraId="46BD32C2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</w:p>
    <w:p w14:paraId="63510DFF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525D75">
        <w:rPr>
          <w:rFonts w:eastAsia="MS Mincho"/>
          <w:b/>
          <w:bCs/>
          <w:szCs w:val="24"/>
          <w:lang w:val="ru-RU" w:eastAsia="ru-RU"/>
        </w:rPr>
        <w:t>Лекарственная форма.</w:t>
      </w:r>
      <w:r w:rsidRPr="00525D75">
        <w:rPr>
          <w:rFonts w:eastAsia="MS Mincho"/>
          <w:bCs/>
          <w:szCs w:val="24"/>
          <w:lang w:val="ru-RU" w:eastAsia="ru-RU"/>
        </w:rPr>
        <w:t xml:space="preserve"> Мазь.</w:t>
      </w:r>
    </w:p>
    <w:p w14:paraId="3792E174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525D75">
        <w:rPr>
          <w:rFonts w:eastAsia="MS Mincho"/>
          <w:bCs/>
          <w:i/>
          <w:szCs w:val="24"/>
          <w:lang w:val="ru-RU" w:eastAsia="ru-RU"/>
        </w:rPr>
        <w:t>Основные физико-химические свойства:</w:t>
      </w:r>
      <w:r w:rsidRPr="00525D75">
        <w:rPr>
          <w:rFonts w:eastAsia="MS Mincho"/>
          <w:bCs/>
          <w:szCs w:val="24"/>
          <w:lang w:val="ru-RU" w:eastAsia="ru-RU"/>
        </w:rPr>
        <w:t xml:space="preserve"> однородная мазь белого или почти белого цвета.</w:t>
      </w:r>
    </w:p>
    <w:p w14:paraId="18DFF59C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</w:p>
    <w:p w14:paraId="62DE2CAC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/>
          <w:bCs/>
          <w:szCs w:val="24"/>
          <w:lang w:val="ru-RU" w:eastAsia="ru-RU"/>
        </w:rPr>
      </w:pPr>
      <w:r w:rsidRPr="00525D75">
        <w:rPr>
          <w:rFonts w:eastAsia="MS Mincho"/>
          <w:b/>
          <w:bCs/>
          <w:szCs w:val="24"/>
          <w:lang w:val="ru-RU" w:eastAsia="ru-RU"/>
        </w:rPr>
        <w:t>Фармакотерапевтическая группа.</w:t>
      </w:r>
    </w:p>
    <w:p w14:paraId="0064BBDF" w14:textId="77777777" w:rsidR="0089749F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525D75">
        <w:rPr>
          <w:rFonts w:eastAsia="MS Mincho"/>
          <w:bCs/>
          <w:szCs w:val="24"/>
          <w:lang w:val="ru-RU" w:eastAsia="ru-RU"/>
        </w:rPr>
        <w:t>Антипсориaтич</w:t>
      </w:r>
      <w:r>
        <w:rPr>
          <w:rFonts w:eastAsia="MS Mincho"/>
          <w:bCs/>
          <w:szCs w:val="24"/>
          <w:lang w:val="ru-RU" w:eastAsia="ru-RU"/>
        </w:rPr>
        <w:t>еские</w:t>
      </w:r>
      <w:r w:rsidRPr="00525D75">
        <w:rPr>
          <w:rFonts w:eastAsia="MS Mincho"/>
          <w:bCs/>
          <w:szCs w:val="24"/>
          <w:lang w:val="ru-RU" w:eastAsia="ru-RU"/>
        </w:rPr>
        <w:t xml:space="preserve"> средства для местного применения. Код АТХ D05A X03.</w:t>
      </w:r>
    </w:p>
    <w:p w14:paraId="33881761" w14:textId="77777777" w:rsid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</w:p>
    <w:p w14:paraId="06F5B504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/>
          <w:bCs/>
          <w:i/>
          <w:szCs w:val="24"/>
          <w:lang w:val="ru-RU" w:eastAsia="ru-RU"/>
        </w:rPr>
      </w:pPr>
      <w:r w:rsidRPr="00525D75">
        <w:rPr>
          <w:rFonts w:eastAsia="MS Mincho"/>
          <w:b/>
          <w:bCs/>
          <w:i/>
          <w:szCs w:val="24"/>
          <w:lang w:val="ru-RU" w:eastAsia="ru-RU"/>
        </w:rPr>
        <w:t>Фармакологические свойства.</w:t>
      </w:r>
    </w:p>
    <w:p w14:paraId="1B2E14FA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i/>
          <w:szCs w:val="24"/>
          <w:lang w:val="ru-RU" w:eastAsia="ru-RU"/>
        </w:rPr>
      </w:pPr>
      <w:r w:rsidRPr="00525D75">
        <w:rPr>
          <w:rFonts w:eastAsia="MS Mincho"/>
          <w:bCs/>
          <w:i/>
          <w:szCs w:val="24"/>
          <w:lang w:val="ru-RU" w:eastAsia="ru-RU"/>
        </w:rPr>
        <w:t>Фармакодинамика.</w:t>
      </w:r>
    </w:p>
    <w:p w14:paraId="51E768FA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u w:val="single"/>
          <w:lang w:val="ru-RU" w:eastAsia="ru-RU"/>
        </w:rPr>
      </w:pPr>
      <w:r w:rsidRPr="00525D75">
        <w:rPr>
          <w:rFonts w:eastAsia="MS Mincho"/>
          <w:bCs/>
          <w:szCs w:val="24"/>
          <w:u w:val="single"/>
          <w:lang w:val="ru-RU" w:eastAsia="ru-RU"/>
        </w:rPr>
        <w:t>Механизм действия.</w:t>
      </w:r>
    </w:p>
    <w:p w14:paraId="35B31477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525D75">
        <w:rPr>
          <w:rFonts w:eastAsia="MS Mincho"/>
          <w:bCs/>
          <w:szCs w:val="24"/>
          <w:lang w:val="ru-RU" w:eastAsia="ru-RU"/>
        </w:rPr>
        <w:t>Кальцитриол ингибирует пролиферацию и стимулирует дифференцировку кератиноцитов.</w:t>
      </w:r>
    </w:p>
    <w:p w14:paraId="3224E44F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525D75">
        <w:rPr>
          <w:rFonts w:eastAsia="MS Mincho"/>
          <w:bCs/>
          <w:szCs w:val="24"/>
          <w:lang w:val="ru-RU" w:eastAsia="ru-RU"/>
        </w:rPr>
        <w:t>Также кальцитриол уменьшает сцепление и ускоряет отшелушивание роговых клеток. Кальцитриол ингибирует пролиферацию Т-лимфоцитов и нормализует продукцию различных факторов воспалительного процесса.</w:t>
      </w:r>
    </w:p>
    <w:p w14:paraId="4C5784B0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i/>
          <w:szCs w:val="24"/>
          <w:lang w:val="ru-RU" w:eastAsia="ru-RU"/>
        </w:rPr>
      </w:pPr>
      <w:r w:rsidRPr="00525D75">
        <w:rPr>
          <w:rFonts w:eastAsia="MS Mincho"/>
          <w:bCs/>
          <w:i/>
          <w:szCs w:val="24"/>
          <w:lang w:val="ru-RU" w:eastAsia="ru-RU"/>
        </w:rPr>
        <w:t>Фармакокинетика.</w:t>
      </w:r>
    </w:p>
    <w:p w14:paraId="548A338C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u w:val="single"/>
          <w:lang w:val="ru-RU" w:eastAsia="ru-RU"/>
        </w:rPr>
      </w:pPr>
      <w:r w:rsidRPr="00525D75">
        <w:rPr>
          <w:rFonts w:eastAsia="MS Mincho"/>
          <w:bCs/>
          <w:szCs w:val="24"/>
          <w:u w:val="single"/>
          <w:lang w:val="ru-RU" w:eastAsia="ru-RU"/>
        </w:rPr>
        <w:t>Абсорбция.</w:t>
      </w:r>
    </w:p>
    <w:p w14:paraId="54E85301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525D75">
        <w:rPr>
          <w:rFonts w:eastAsia="MS Mincho"/>
          <w:bCs/>
          <w:szCs w:val="24"/>
          <w:lang w:val="ru-RU" w:eastAsia="ru-RU"/>
        </w:rPr>
        <w:t>При местном применении абсорбция кальцитриола составляет примерно 10%.</w:t>
      </w:r>
    </w:p>
    <w:p w14:paraId="6FC542B3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525D75">
        <w:rPr>
          <w:rFonts w:eastAsia="MS Mincho"/>
          <w:bCs/>
          <w:szCs w:val="24"/>
          <w:lang w:val="ru-RU" w:eastAsia="ru-RU"/>
        </w:rPr>
        <w:t xml:space="preserve">После абсорбции в плазме крови выявляют как кальцитриол в неизмененном виде, так и его метаболиты. Влияние метаболитов на гомеостаз кальция является незначительным. У большинства пациентов циркулирующие уровни экзогенного кальцитриола ниже уровня </w:t>
      </w:r>
      <w:r>
        <w:rPr>
          <w:rFonts w:eastAsia="MS Mincho"/>
          <w:bCs/>
          <w:szCs w:val="24"/>
          <w:lang w:val="ru-RU" w:eastAsia="ru-RU"/>
        </w:rPr>
        <w:t>выявления</w:t>
      </w:r>
      <w:r w:rsidRPr="00525D75">
        <w:rPr>
          <w:rFonts w:eastAsia="MS Mincho"/>
          <w:bCs/>
          <w:szCs w:val="24"/>
          <w:lang w:val="ru-RU" w:eastAsia="ru-RU"/>
        </w:rPr>
        <w:t xml:space="preserve"> (2 мкг/мл).</w:t>
      </w:r>
    </w:p>
    <w:p w14:paraId="7D9CB819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i/>
          <w:szCs w:val="24"/>
          <w:lang w:val="ru-RU" w:eastAsia="ru-RU"/>
        </w:rPr>
      </w:pPr>
      <w:r w:rsidRPr="00525D75">
        <w:rPr>
          <w:rFonts w:eastAsia="MS Mincho"/>
          <w:bCs/>
          <w:i/>
          <w:szCs w:val="24"/>
          <w:lang w:val="ru-RU" w:eastAsia="ru-RU"/>
        </w:rPr>
        <w:t>Распределение.</w:t>
      </w:r>
    </w:p>
    <w:p w14:paraId="004F86A8" w14:textId="77777777" w:rsid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525D75">
        <w:rPr>
          <w:rFonts w:eastAsia="MS Mincho"/>
          <w:bCs/>
          <w:szCs w:val="24"/>
          <w:lang w:val="ru-RU" w:eastAsia="ru-RU"/>
        </w:rPr>
        <w:t>В ходе клинических исследований не было отмечено существенного увеличения плазменных уровней кальцитриола после обработки значительного объема поверхности тела площадью до 6000 см</w:t>
      </w:r>
      <w:r w:rsidRPr="00525D75">
        <w:rPr>
          <w:rFonts w:eastAsia="MS Mincho"/>
          <w:bCs/>
          <w:szCs w:val="24"/>
          <w:vertAlign w:val="superscript"/>
          <w:lang w:val="ru-RU" w:eastAsia="ru-RU"/>
        </w:rPr>
        <w:t>2</w:t>
      </w:r>
      <w:r w:rsidRPr="00525D75">
        <w:rPr>
          <w:rFonts w:eastAsia="MS Mincho"/>
          <w:bCs/>
          <w:szCs w:val="24"/>
          <w:lang w:val="ru-RU" w:eastAsia="ru-RU"/>
        </w:rPr>
        <w:t xml:space="preserve"> (35% площади поверхности тела).</w:t>
      </w:r>
    </w:p>
    <w:p w14:paraId="05ED79FB" w14:textId="77777777" w:rsid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</w:p>
    <w:p w14:paraId="026D4657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/>
          <w:bCs/>
          <w:i/>
          <w:szCs w:val="24"/>
          <w:lang w:val="ru-RU" w:eastAsia="ru-RU"/>
        </w:rPr>
      </w:pPr>
      <w:r w:rsidRPr="00525D75">
        <w:rPr>
          <w:rFonts w:eastAsia="MS Mincho"/>
          <w:b/>
          <w:bCs/>
          <w:i/>
          <w:szCs w:val="24"/>
          <w:lang w:val="ru-RU" w:eastAsia="ru-RU"/>
        </w:rPr>
        <w:t>Показания.</w:t>
      </w:r>
    </w:p>
    <w:p w14:paraId="35302347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525D75">
        <w:rPr>
          <w:rFonts w:eastAsia="MS Mincho"/>
          <w:bCs/>
          <w:szCs w:val="24"/>
          <w:lang w:val="ru-RU" w:eastAsia="ru-RU"/>
        </w:rPr>
        <w:lastRenderedPageBreak/>
        <w:t>Бляш</w:t>
      </w:r>
      <w:r w:rsidR="00E0551D">
        <w:rPr>
          <w:rFonts w:eastAsia="MS Mincho"/>
          <w:bCs/>
          <w:szCs w:val="24"/>
          <w:lang w:val="ru-RU" w:eastAsia="ru-RU"/>
        </w:rPr>
        <w:t>ечный</w:t>
      </w:r>
      <w:r w:rsidRPr="00525D75">
        <w:rPr>
          <w:rFonts w:eastAsia="MS Mincho"/>
          <w:bCs/>
          <w:szCs w:val="24"/>
          <w:lang w:val="ru-RU" w:eastAsia="ru-RU"/>
        </w:rPr>
        <w:t xml:space="preserve"> псориаз легкой и средней степени тяжести (местное лечение кожных проявлений) с поражением до 35% площади поверхности тела.</w:t>
      </w:r>
    </w:p>
    <w:p w14:paraId="12C619C8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</w:p>
    <w:p w14:paraId="54D7BFDB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/>
          <w:bCs/>
          <w:i/>
          <w:szCs w:val="24"/>
          <w:lang w:val="ru-RU" w:eastAsia="ru-RU"/>
        </w:rPr>
      </w:pPr>
      <w:r w:rsidRPr="00525D75">
        <w:rPr>
          <w:rFonts w:eastAsia="MS Mincho"/>
          <w:b/>
          <w:bCs/>
          <w:i/>
          <w:szCs w:val="24"/>
          <w:lang w:val="ru-RU" w:eastAsia="ru-RU"/>
        </w:rPr>
        <w:t>Противопоказания.</w:t>
      </w:r>
    </w:p>
    <w:p w14:paraId="73E82938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>
        <w:rPr>
          <w:rFonts w:eastAsia="MS Mincho"/>
          <w:bCs/>
          <w:szCs w:val="24"/>
          <w:lang w:val="ru-RU" w:eastAsia="ru-RU"/>
        </w:rPr>
        <w:t>- Г</w:t>
      </w:r>
      <w:r w:rsidRPr="00525D75">
        <w:rPr>
          <w:rFonts w:eastAsia="MS Mincho"/>
          <w:bCs/>
          <w:szCs w:val="24"/>
          <w:lang w:val="ru-RU" w:eastAsia="ru-RU"/>
        </w:rPr>
        <w:t xml:space="preserve">иперчувствительность к действующему веществу или к </w:t>
      </w:r>
      <w:r>
        <w:rPr>
          <w:rFonts w:eastAsia="MS Mincho"/>
          <w:bCs/>
          <w:szCs w:val="24"/>
          <w:lang w:val="ru-RU" w:eastAsia="ru-RU"/>
        </w:rPr>
        <w:t>любому из компонентов препарата;</w:t>
      </w:r>
    </w:p>
    <w:p w14:paraId="2C82426E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>
        <w:rPr>
          <w:rFonts w:eastAsia="MS Mincho"/>
          <w:bCs/>
          <w:szCs w:val="24"/>
          <w:lang w:val="ru-RU" w:eastAsia="ru-RU"/>
        </w:rPr>
        <w:t>- г</w:t>
      </w:r>
      <w:r w:rsidRPr="00525D75">
        <w:rPr>
          <w:rFonts w:eastAsia="MS Mincho"/>
          <w:bCs/>
          <w:szCs w:val="24"/>
          <w:lang w:val="ru-RU" w:eastAsia="ru-RU"/>
        </w:rPr>
        <w:t>иперкальциемия и другие патологические состояния, характеризующиеся</w:t>
      </w:r>
      <w:r>
        <w:rPr>
          <w:rFonts w:eastAsia="MS Mincho"/>
          <w:bCs/>
          <w:szCs w:val="24"/>
          <w:lang w:val="ru-RU" w:eastAsia="ru-RU"/>
        </w:rPr>
        <w:t xml:space="preserve"> нарушением метаболизма кальция;</w:t>
      </w:r>
    </w:p>
    <w:p w14:paraId="1C3B3DD2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>
        <w:rPr>
          <w:rFonts w:eastAsia="MS Mincho"/>
          <w:bCs/>
          <w:szCs w:val="24"/>
          <w:lang w:val="ru-RU" w:eastAsia="ru-RU"/>
        </w:rPr>
        <w:t>- с</w:t>
      </w:r>
      <w:r w:rsidRPr="00525D75">
        <w:rPr>
          <w:rFonts w:eastAsia="MS Mincho"/>
          <w:bCs/>
          <w:szCs w:val="24"/>
          <w:lang w:val="ru-RU" w:eastAsia="ru-RU"/>
        </w:rPr>
        <w:t>истемная</w:t>
      </w:r>
      <w:r>
        <w:rPr>
          <w:rFonts w:eastAsia="MS Mincho"/>
          <w:bCs/>
          <w:szCs w:val="24"/>
          <w:lang w:val="ru-RU" w:eastAsia="ru-RU"/>
        </w:rPr>
        <w:t xml:space="preserve"> терапия кальциевого гомеостаза;</w:t>
      </w:r>
    </w:p>
    <w:p w14:paraId="27BF5C2F" w14:textId="77777777" w:rsid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525D75">
        <w:rPr>
          <w:rFonts w:eastAsia="MS Mincho"/>
          <w:bCs/>
          <w:szCs w:val="24"/>
          <w:lang w:val="ru-RU" w:eastAsia="ru-RU"/>
        </w:rPr>
        <w:t>- нарушение функции печени и почек.</w:t>
      </w:r>
    </w:p>
    <w:p w14:paraId="73404812" w14:textId="77777777" w:rsid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</w:p>
    <w:p w14:paraId="0419C1F2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/>
          <w:bCs/>
          <w:i/>
          <w:szCs w:val="24"/>
          <w:lang w:val="ru-RU" w:eastAsia="ru-RU"/>
        </w:rPr>
      </w:pPr>
      <w:r w:rsidRPr="00525D75">
        <w:rPr>
          <w:rFonts w:eastAsia="MS Mincho"/>
          <w:b/>
          <w:bCs/>
          <w:i/>
          <w:szCs w:val="24"/>
          <w:lang w:val="ru-RU" w:eastAsia="ru-RU"/>
        </w:rPr>
        <w:t>Взаимодействие с другими лекарственными средствами и другие виды взаимодействий.</w:t>
      </w:r>
    </w:p>
    <w:p w14:paraId="6B320780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525D75">
        <w:rPr>
          <w:rFonts w:eastAsia="MS Mincho"/>
          <w:bCs/>
          <w:szCs w:val="24"/>
          <w:lang w:val="ru-RU" w:eastAsia="ru-RU"/>
        </w:rPr>
        <w:t>Применение кальцитриола одновременно с бетаметазоном показало более высокую эффективность этой комбинации при местном лечении псориаза, чем применение этих препаратов в отдельности друг от друга.</w:t>
      </w:r>
    </w:p>
    <w:p w14:paraId="7956A83E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525D75">
        <w:rPr>
          <w:rFonts w:eastAsia="MS Mincho"/>
          <w:bCs/>
          <w:szCs w:val="24"/>
          <w:lang w:val="ru-RU" w:eastAsia="ru-RU"/>
        </w:rPr>
        <w:t>Назначение мази Форкал</w:t>
      </w:r>
      <w:r w:rsidRPr="00525D75">
        <w:rPr>
          <w:rFonts w:eastAsia="MS Mincho"/>
          <w:bCs/>
          <w:szCs w:val="24"/>
          <w:vertAlign w:val="superscript"/>
          <w:lang w:val="ru-RU" w:eastAsia="ru-RU"/>
        </w:rPr>
        <w:t>®</w:t>
      </w:r>
      <w:r w:rsidRPr="00525D75">
        <w:rPr>
          <w:rFonts w:eastAsia="MS Mincho"/>
          <w:bCs/>
          <w:szCs w:val="24"/>
          <w:lang w:val="ru-RU" w:eastAsia="ru-RU"/>
        </w:rPr>
        <w:t xml:space="preserve"> в сочетании с УФО обеспечивает более быстрый лечебный эффект. Тиазидные диуретики повышают риск развития гиперкальциемии.</w:t>
      </w:r>
    </w:p>
    <w:p w14:paraId="0C813E59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525D75">
        <w:rPr>
          <w:rFonts w:eastAsia="MS Mincho"/>
          <w:bCs/>
          <w:szCs w:val="24"/>
          <w:lang w:val="ru-RU" w:eastAsia="ru-RU"/>
        </w:rPr>
        <w:t>С осторожностью применять Форкал</w:t>
      </w:r>
      <w:r w:rsidRPr="00E0551D">
        <w:rPr>
          <w:rFonts w:eastAsia="MS Mincho"/>
          <w:bCs/>
          <w:szCs w:val="24"/>
          <w:vertAlign w:val="superscript"/>
          <w:lang w:val="ru-RU" w:eastAsia="ru-RU"/>
        </w:rPr>
        <w:t>®</w:t>
      </w:r>
      <w:r w:rsidRPr="00525D75">
        <w:rPr>
          <w:rFonts w:eastAsia="MS Mincho"/>
          <w:bCs/>
          <w:szCs w:val="24"/>
          <w:lang w:val="ru-RU" w:eastAsia="ru-RU"/>
        </w:rPr>
        <w:t>, мазь при одновременном приеме внутрь активных метаболитов витамина D (кальцитриол, альфакальцидол), высоких доз витамина D и препаратов кальция в связи с возможн</w:t>
      </w:r>
      <w:r w:rsidR="00E0551D">
        <w:rPr>
          <w:rFonts w:eastAsia="MS Mincho"/>
          <w:bCs/>
          <w:szCs w:val="24"/>
          <w:lang w:val="ru-RU" w:eastAsia="ru-RU"/>
        </w:rPr>
        <w:t>ым</w:t>
      </w:r>
      <w:r w:rsidRPr="00525D75">
        <w:rPr>
          <w:rFonts w:eastAsia="MS Mincho"/>
          <w:bCs/>
          <w:szCs w:val="24"/>
          <w:lang w:val="ru-RU" w:eastAsia="ru-RU"/>
        </w:rPr>
        <w:t xml:space="preserve"> потенциальн</w:t>
      </w:r>
      <w:r w:rsidR="00E0551D">
        <w:rPr>
          <w:rFonts w:eastAsia="MS Mincho"/>
          <w:bCs/>
          <w:szCs w:val="24"/>
          <w:lang w:val="ru-RU" w:eastAsia="ru-RU"/>
        </w:rPr>
        <w:t>ым</w:t>
      </w:r>
      <w:r w:rsidRPr="00525D75">
        <w:rPr>
          <w:rFonts w:eastAsia="MS Mincho"/>
          <w:bCs/>
          <w:szCs w:val="24"/>
          <w:lang w:val="ru-RU" w:eastAsia="ru-RU"/>
        </w:rPr>
        <w:t xml:space="preserve"> действием и повышением риска развития гиперкальциемии.</w:t>
      </w:r>
    </w:p>
    <w:p w14:paraId="55419E7E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525D75">
        <w:rPr>
          <w:rFonts w:eastAsia="MS Mincho"/>
          <w:bCs/>
          <w:szCs w:val="24"/>
          <w:lang w:val="ru-RU" w:eastAsia="ru-RU"/>
        </w:rPr>
        <w:t>Нет опыта одновременного применения кальцитриола и других лекарственных препаратов для лечения псориаза.</w:t>
      </w:r>
    </w:p>
    <w:p w14:paraId="516A3086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525D75">
        <w:rPr>
          <w:rFonts w:eastAsia="MS Mincho"/>
          <w:bCs/>
          <w:szCs w:val="24"/>
          <w:lang w:val="ru-RU" w:eastAsia="ru-RU"/>
        </w:rPr>
        <w:t>Информация о взаимодействии системных лекарств после использования мази с кальцитриолом ограничен</w:t>
      </w:r>
      <w:r w:rsidR="00E0551D">
        <w:rPr>
          <w:rFonts w:eastAsia="MS Mincho"/>
          <w:bCs/>
          <w:szCs w:val="24"/>
          <w:lang w:val="ru-RU" w:eastAsia="ru-RU"/>
        </w:rPr>
        <w:t>а</w:t>
      </w:r>
      <w:r w:rsidRPr="00525D75">
        <w:rPr>
          <w:rFonts w:eastAsia="MS Mincho"/>
          <w:bCs/>
          <w:szCs w:val="24"/>
          <w:lang w:val="ru-RU" w:eastAsia="ru-RU"/>
        </w:rPr>
        <w:t>.</w:t>
      </w:r>
    </w:p>
    <w:p w14:paraId="71D45BF8" w14:textId="77777777" w:rsidR="00525D75" w:rsidRPr="00525D75" w:rsidRDefault="00525D75" w:rsidP="00525D75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525D75">
        <w:rPr>
          <w:rFonts w:eastAsia="MS Mincho"/>
          <w:bCs/>
          <w:szCs w:val="24"/>
          <w:lang w:val="ru-RU" w:eastAsia="ru-RU"/>
        </w:rPr>
        <w:t>Форкал</w:t>
      </w:r>
      <w:r w:rsidRPr="00E0551D">
        <w:rPr>
          <w:rFonts w:eastAsia="MS Mincho"/>
          <w:bCs/>
          <w:szCs w:val="24"/>
          <w:vertAlign w:val="superscript"/>
          <w:lang w:val="ru-RU" w:eastAsia="ru-RU"/>
        </w:rPr>
        <w:t>®</w:t>
      </w:r>
      <w:r w:rsidRPr="00525D75">
        <w:rPr>
          <w:rFonts w:eastAsia="MS Mincho"/>
          <w:bCs/>
          <w:szCs w:val="24"/>
          <w:lang w:val="ru-RU" w:eastAsia="ru-RU"/>
        </w:rPr>
        <w:t>, мазь не рекомендуется наносить одновременно с салициловой кислотой и препаратами, которые ее содержат.</w:t>
      </w:r>
    </w:p>
    <w:p w14:paraId="7AD92A62" w14:textId="77777777" w:rsidR="00525D75" w:rsidRDefault="00525D75" w:rsidP="00E0551D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525D75">
        <w:rPr>
          <w:rFonts w:eastAsia="MS Mincho"/>
          <w:bCs/>
          <w:szCs w:val="24"/>
          <w:lang w:val="ru-RU" w:eastAsia="ru-RU"/>
        </w:rPr>
        <w:t>Форкал</w:t>
      </w:r>
      <w:r w:rsidRPr="00E0551D">
        <w:rPr>
          <w:rFonts w:eastAsia="MS Mincho"/>
          <w:bCs/>
          <w:szCs w:val="24"/>
          <w:vertAlign w:val="superscript"/>
          <w:lang w:val="ru-RU" w:eastAsia="ru-RU"/>
        </w:rPr>
        <w:t>®</w:t>
      </w:r>
      <w:r w:rsidRPr="00525D75">
        <w:rPr>
          <w:rFonts w:eastAsia="MS Mincho"/>
          <w:bCs/>
          <w:szCs w:val="24"/>
          <w:lang w:val="ru-RU" w:eastAsia="ru-RU"/>
        </w:rPr>
        <w:t xml:space="preserve">, мазь не рекомендуется наносить одновременно со средствами для пилинга или препаратами для местного применения, </w:t>
      </w:r>
      <w:r w:rsidR="00E0551D">
        <w:rPr>
          <w:rFonts w:eastAsia="MS Mincho"/>
          <w:bCs/>
          <w:szCs w:val="24"/>
          <w:lang w:val="ru-RU" w:eastAsia="ru-RU"/>
        </w:rPr>
        <w:t xml:space="preserve">которые </w:t>
      </w:r>
      <w:r w:rsidRPr="00525D75">
        <w:rPr>
          <w:rFonts w:eastAsia="MS Mincho"/>
          <w:bCs/>
          <w:szCs w:val="24"/>
          <w:lang w:val="ru-RU" w:eastAsia="ru-RU"/>
        </w:rPr>
        <w:t>обладают раздражающим или вяжущ</w:t>
      </w:r>
      <w:r w:rsidR="00E0551D">
        <w:rPr>
          <w:rFonts w:eastAsia="MS Mincho"/>
          <w:bCs/>
          <w:szCs w:val="24"/>
          <w:lang w:val="ru-RU" w:eastAsia="ru-RU"/>
        </w:rPr>
        <w:t>им</w:t>
      </w:r>
      <w:r w:rsidRPr="00525D75">
        <w:rPr>
          <w:rFonts w:eastAsia="MS Mincho"/>
          <w:bCs/>
          <w:szCs w:val="24"/>
          <w:lang w:val="ru-RU" w:eastAsia="ru-RU"/>
        </w:rPr>
        <w:t xml:space="preserve"> действие</w:t>
      </w:r>
      <w:r w:rsidR="00E0551D">
        <w:rPr>
          <w:rFonts w:eastAsia="MS Mincho"/>
          <w:bCs/>
          <w:szCs w:val="24"/>
          <w:lang w:val="ru-RU" w:eastAsia="ru-RU"/>
        </w:rPr>
        <w:t>м</w:t>
      </w:r>
      <w:r w:rsidRPr="00525D75">
        <w:rPr>
          <w:rFonts w:eastAsia="MS Mincho"/>
          <w:bCs/>
          <w:szCs w:val="24"/>
          <w:lang w:val="ru-RU" w:eastAsia="ru-RU"/>
        </w:rPr>
        <w:t>, из-за возможности усиления раздражающего эффекта препарата.</w:t>
      </w:r>
    </w:p>
    <w:p w14:paraId="783BE404" w14:textId="77777777" w:rsidR="00A626EA" w:rsidRDefault="00A626EA" w:rsidP="00E0551D">
      <w:pPr>
        <w:spacing w:after="0" w:line="240" w:lineRule="auto"/>
        <w:rPr>
          <w:rFonts w:eastAsia="Times New Roman"/>
          <w:bCs/>
          <w:szCs w:val="24"/>
          <w:lang w:val="ru-RU" w:eastAsia="ru-RU"/>
        </w:rPr>
      </w:pPr>
    </w:p>
    <w:p w14:paraId="2CA75561" w14:textId="77777777" w:rsidR="00E0551D" w:rsidRPr="00E0551D" w:rsidRDefault="00E0551D" w:rsidP="00E0551D">
      <w:pPr>
        <w:spacing w:after="0" w:line="240" w:lineRule="auto"/>
        <w:rPr>
          <w:rFonts w:eastAsia="Times New Roman"/>
          <w:b/>
          <w:bCs/>
          <w:i/>
          <w:szCs w:val="24"/>
          <w:lang w:val="ru-RU" w:eastAsia="ru-RU"/>
        </w:rPr>
      </w:pPr>
      <w:r w:rsidRPr="00E0551D">
        <w:rPr>
          <w:rFonts w:eastAsia="Times New Roman"/>
          <w:b/>
          <w:bCs/>
          <w:i/>
          <w:szCs w:val="24"/>
          <w:lang w:val="ru-RU" w:eastAsia="ru-RU"/>
        </w:rPr>
        <w:t>Особенности применения.</w:t>
      </w:r>
    </w:p>
    <w:p w14:paraId="2A8341AE" w14:textId="77777777" w:rsidR="00E0551D" w:rsidRPr="00E0551D" w:rsidRDefault="00E0551D" w:rsidP="00E0551D">
      <w:pPr>
        <w:spacing w:after="0" w:line="240" w:lineRule="auto"/>
        <w:rPr>
          <w:rFonts w:eastAsia="Times New Roman"/>
          <w:bCs/>
          <w:szCs w:val="24"/>
          <w:lang w:val="ru-RU" w:eastAsia="ru-RU"/>
        </w:rPr>
      </w:pPr>
      <w:r w:rsidRPr="00E0551D">
        <w:rPr>
          <w:rFonts w:eastAsia="Times New Roman"/>
          <w:bCs/>
          <w:szCs w:val="24"/>
          <w:lang w:val="ru-RU" w:eastAsia="ru-RU"/>
        </w:rPr>
        <w:t>Мазь рекомендуется применять на лице с осторожностью, поскольку существует риск возникновения раздражения на этом участке. Следует избегать попадания мази в глаза. После нанесения мази необходимо вымыть руки во избежание случайного ее применения на непораженных участках. При случайном попадании мази в глаза, на слизистую оболочку рта или носа следует тщательно промыть их теплой водой. Рекомендуется подвергать ежедневной обработке не более 35% поверхности тела. Не следует использовать более 30 г мази в сутки, поскольку определенное количество кальцитриола проникает через кожу, и чрезмерное применение мази может привести к системны</w:t>
      </w:r>
      <w:r>
        <w:rPr>
          <w:rFonts w:eastAsia="Times New Roman"/>
          <w:bCs/>
          <w:szCs w:val="24"/>
          <w:lang w:val="ru-RU" w:eastAsia="ru-RU"/>
        </w:rPr>
        <w:t>м</w:t>
      </w:r>
      <w:r w:rsidRPr="00E0551D">
        <w:rPr>
          <w:rFonts w:eastAsia="Times New Roman"/>
          <w:bCs/>
          <w:szCs w:val="24"/>
          <w:lang w:val="ru-RU" w:eastAsia="ru-RU"/>
        </w:rPr>
        <w:t xml:space="preserve"> побочны</w:t>
      </w:r>
      <w:r>
        <w:rPr>
          <w:rFonts w:eastAsia="Times New Roman"/>
          <w:bCs/>
          <w:szCs w:val="24"/>
          <w:lang w:val="ru-RU" w:eastAsia="ru-RU"/>
        </w:rPr>
        <w:t>м</w:t>
      </w:r>
      <w:r w:rsidRPr="00E0551D">
        <w:rPr>
          <w:rFonts w:eastAsia="Times New Roman"/>
          <w:bCs/>
          <w:szCs w:val="24"/>
          <w:lang w:val="ru-RU" w:eastAsia="ru-RU"/>
        </w:rPr>
        <w:t xml:space="preserve"> эффект</w:t>
      </w:r>
      <w:r>
        <w:rPr>
          <w:rFonts w:eastAsia="Times New Roman"/>
          <w:bCs/>
          <w:szCs w:val="24"/>
          <w:lang w:val="ru-RU" w:eastAsia="ru-RU"/>
        </w:rPr>
        <w:t>ам</w:t>
      </w:r>
      <w:r w:rsidRPr="00E0551D">
        <w:rPr>
          <w:rFonts w:eastAsia="Times New Roman"/>
          <w:bCs/>
          <w:szCs w:val="24"/>
          <w:lang w:val="ru-RU" w:eastAsia="ru-RU"/>
        </w:rPr>
        <w:t>, связанны</w:t>
      </w:r>
      <w:r>
        <w:rPr>
          <w:rFonts w:eastAsia="Times New Roman"/>
          <w:bCs/>
          <w:szCs w:val="24"/>
          <w:lang w:val="ru-RU" w:eastAsia="ru-RU"/>
        </w:rPr>
        <w:t>м</w:t>
      </w:r>
      <w:r w:rsidRPr="00E0551D">
        <w:rPr>
          <w:rFonts w:eastAsia="Times New Roman"/>
          <w:bCs/>
          <w:szCs w:val="24"/>
          <w:lang w:val="ru-RU" w:eastAsia="ru-RU"/>
        </w:rPr>
        <w:t xml:space="preserve"> с гиперкальциемией.</w:t>
      </w:r>
    </w:p>
    <w:p w14:paraId="087B8914" w14:textId="77777777" w:rsidR="00E0551D" w:rsidRDefault="00E0551D" w:rsidP="00E0551D">
      <w:pPr>
        <w:spacing w:after="0" w:line="240" w:lineRule="auto"/>
        <w:rPr>
          <w:rFonts w:eastAsia="Times New Roman"/>
          <w:bCs/>
          <w:szCs w:val="24"/>
          <w:lang w:val="ru-RU" w:eastAsia="ru-RU"/>
        </w:rPr>
      </w:pPr>
      <w:r>
        <w:rPr>
          <w:rFonts w:eastAsia="Times New Roman"/>
          <w:bCs/>
          <w:szCs w:val="24"/>
          <w:lang w:val="ru-RU" w:eastAsia="ru-RU"/>
        </w:rPr>
        <w:t>Из-за</w:t>
      </w:r>
      <w:r w:rsidRPr="00E0551D">
        <w:rPr>
          <w:rFonts w:eastAsia="Times New Roman"/>
          <w:bCs/>
          <w:szCs w:val="24"/>
          <w:lang w:val="ru-RU" w:eastAsia="ru-RU"/>
        </w:rPr>
        <w:t xml:space="preserve"> потенциально</w:t>
      </w:r>
      <w:r>
        <w:rPr>
          <w:rFonts w:eastAsia="Times New Roman"/>
          <w:bCs/>
          <w:szCs w:val="24"/>
          <w:lang w:val="ru-RU" w:eastAsia="ru-RU"/>
        </w:rPr>
        <w:t>го</w:t>
      </w:r>
      <w:r w:rsidRPr="00E0551D">
        <w:rPr>
          <w:rFonts w:eastAsia="Times New Roman"/>
          <w:bCs/>
          <w:szCs w:val="24"/>
          <w:lang w:val="ru-RU" w:eastAsia="ru-RU"/>
        </w:rPr>
        <w:t xml:space="preserve"> влияни</w:t>
      </w:r>
      <w:r>
        <w:rPr>
          <w:rFonts w:eastAsia="Times New Roman"/>
          <w:bCs/>
          <w:szCs w:val="24"/>
          <w:lang w:val="ru-RU" w:eastAsia="ru-RU"/>
        </w:rPr>
        <w:t>я</w:t>
      </w:r>
      <w:r w:rsidRPr="00E0551D">
        <w:rPr>
          <w:rFonts w:eastAsia="Times New Roman"/>
          <w:bCs/>
          <w:szCs w:val="24"/>
          <w:lang w:val="ru-RU" w:eastAsia="ru-RU"/>
        </w:rPr>
        <w:t xml:space="preserve"> на метаболизм кальция не рекомендуется добавлять </w:t>
      </w:r>
      <w:r>
        <w:rPr>
          <w:rFonts w:eastAsia="Times New Roman"/>
          <w:bCs/>
          <w:szCs w:val="24"/>
          <w:lang w:val="ru-RU" w:eastAsia="ru-RU"/>
        </w:rPr>
        <w:t xml:space="preserve">в </w:t>
      </w:r>
      <w:r w:rsidRPr="00E0551D">
        <w:rPr>
          <w:rFonts w:eastAsia="Times New Roman"/>
          <w:bCs/>
          <w:szCs w:val="24"/>
          <w:lang w:val="ru-RU" w:eastAsia="ru-RU"/>
        </w:rPr>
        <w:t>маз</w:t>
      </w:r>
      <w:r>
        <w:rPr>
          <w:rFonts w:eastAsia="Times New Roman"/>
          <w:bCs/>
          <w:szCs w:val="24"/>
          <w:lang w:val="ru-RU" w:eastAsia="ru-RU"/>
        </w:rPr>
        <w:t>ь</w:t>
      </w:r>
      <w:r w:rsidRPr="00E0551D">
        <w:rPr>
          <w:rFonts w:eastAsia="Times New Roman"/>
          <w:bCs/>
          <w:szCs w:val="24"/>
          <w:lang w:val="ru-RU" w:eastAsia="ru-RU"/>
        </w:rPr>
        <w:t xml:space="preserve"> вещества, которые стимулируют ее поглощени</w:t>
      </w:r>
      <w:r>
        <w:rPr>
          <w:rFonts w:eastAsia="Times New Roman"/>
          <w:bCs/>
          <w:szCs w:val="24"/>
          <w:lang w:val="ru-RU" w:eastAsia="ru-RU"/>
        </w:rPr>
        <w:t>е</w:t>
      </w:r>
      <w:r w:rsidRPr="00E0551D">
        <w:rPr>
          <w:rFonts w:eastAsia="Times New Roman"/>
          <w:bCs/>
          <w:szCs w:val="24"/>
          <w:lang w:val="ru-RU" w:eastAsia="ru-RU"/>
        </w:rPr>
        <w:t>, и накрывать повязкой обработанн</w:t>
      </w:r>
      <w:r>
        <w:rPr>
          <w:rFonts w:eastAsia="Times New Roman"/>
          <w:bCs/>
          <w:szCs w:val="24"/>
          <w:lang w:val="ru-RU" w:eastAsia="ru-RU"/>
        </w:rPr>
        <w:t>ый</w:t>
      </w:r>
      <w:r w:rsidRPr="00E0551D">
        <w:rPr>
          <w:rFonts w:eastAsia="Times New Roman"/>
          <w:bCs/>
          <w:szCs w:val="24"/>
          <w:lang w:val="ru-RU" w:eastAsia="ru-RU"/>
        </w:rPr>
        <w:t xml:space="preserve"> мазью участок кожи.</w:t>
      </w:r>
    </w:p>
    <w:p w14:paraId="06468814" w14:textId="77777777" w:rsidR="00E0551D" w:rsidRPr="00E0551D" w:rsidRDefault="00E0551D" w:rsidP="00E0551D">
      <w:pPr>
        <w:spacing w:after="0" w:line="240" w:lineRule="auto"/>
        <w:rPr>
          <w:rFonts w:eastAsia="Times New Roman"/>
          <w:bCs/>
          <w:szCs w:val="24"/>
          <w:lang w:val="ru-RU" w:eastAsia="ru-RU"/>
        </w:rPr>
      </w:pPr>
      <w:r w:rsidRPr="00E0551D">
        <w:rPr>
          <w:rFonts w:eastAsia="Times New Roman"/>
          <w:bCs/>
          <w:szCs w:val="24"/>
          <w:lang w:val="ru-RU" w:eastAsia="ru-RU"/>
        </w:rPr>
        <w:t xml:space="preserve">При длительном применении следует периодически контролировать уровень кальция в сыворотке крови, </w:t>
      </w:r>
      <w:r>
        <w:rPr>
          <w:rFonts w:eastAsia="Times New Roman"/>
          <w:bCs/>
          <w:szCs w:val="24"/>
          <w:lang w:val="ru-RU" w:eastAsia="ru-RU"/>
        </w:rPr>
        <w:t>поскольку</w:t>
      </w:r>
      <w:r w:rsidRPr="00E0551D">
        <w:rPr>
          <w:rFonts w:eastAsia="Times New Roman"/>
          <w:bCs/>
          <w:szCs w:val="24"/>
          <w:lang w:val="ru-RU" w:eastAsia="ru-RU"/>
        </w:rPr>
        <w:t xml:space="preserve"> возможн</w:t>
      </w:r>
      <w:r>
        <w:rPr>
          <w:rFonts w:eastAsia="Times New Roman"/>
          <w:bCs/>
          <w:szCs w:val="24"/>
          <w:lang w:val="ru-RU" w:eastAsia="ru-RU"/>
        </w:rPr>
        <w:t>о</w:t>
      </w:r>
      <w:r w:rsidRPr="00E0551D">
        <w:rPr>
          <w:rFonts w:eastAsia="Times New Roman"/>
          <w:bCs/>
          <w:szCs w:val="24"/>
          <w:lang w:val="ru-RU" w:eastAsia="ru-RU"/>
        </w:rPr>
        <w:t xml:space="preserve"> системное действие препарата.</w:t>
      </w:r>
    </w:p>
    <w:p w14:paraId="5ADF2980" w14:textId="77777777" w:rsidR="00E0551D" w:rsidRDefault="00E0551D" w:rsidP="00E0551D">
      <w:pPr>
        <w:spacing w:after="0" w:line="240" w:lineRule="auto"/>
        <w:rPr>
          <w:rFonts w:eastAsia="Times New Roman"/>
          <w:bCs/>
          <w:szCs w:val="24"/>
          <w:lang w:val="ru-RU" w:eastAsia="ru-RU"/>
        </w:rPr>
      </w:pPr>
      <w:r w:rsidRPr="00E0551D">
        <w:rPr>
          <w:rFonts w:eastAsia="Times New Roman"/>
          <w:bCs/>
          <w:szCs w:val="24"/>
          <w:lang w:val="ru-RU" w:eastAsia="ru-RU"/>
        </w:rPr>
        <w:t>Доклинические исследования показали, что применение мази с кальцитриолом усиливает чувствительность кожи к ультрафиолетовому облучению (УФО). Поэтому пациентам, которые применяют мазь Форкал</w:t>
      </w:r>
      <w:r w:rsidRPr="00E0551D">
        <w:rPr>
          <w:rFonts w:eastAsia="Times New Roman"/>
          <w:bCs/>
          <w:szCs w:val="24"/>
          <w:vertAlign w:val="superscript"/>
          <w:lang w:val="ru-RU" w:eastAsia="ru-RU"/>
        </w:rPr>
        <w:t>®</w:t>
      </w:r>
      <w:r w:rsidRPr="00E0551D">
        <w:rPr>
          <w:rFonts w:eastAsia="Times New Roman"/>
          <w:bCs/>
          <w:szCs w:val="24"/>
          <w:lang w:val="ru-RU" w:eastAsia="ru-RU"/>
        </w:rPr>
        <w:t xml:space="preserve">, следует избегать чрезмерного воздействия солнечного света (как </w:t>
      </w:r>
      <w:r>
        <w:rPr>
          <w:rFonts w:eastAsia="Times New Roman"/>
          <w:bCs/>
          <w:szCs w:val="24"/>
          <w:lang w:val="ru-RU" w:eastAsia="ru-RU"/>
        </w:rPr>
        <w:t>естественного</w:t>
      </w:r>
      <w:r w:rsidRPr="00E0551D">
        <w:rPr>
          <w:rFonts w:eastAsia="Times New Roman"/>
          <w:bCs/>
          <w:szCs w:val="24"/>
          <w:lang w:val="ru-RU" w:eastAsia="ru-RU"/>
        </w:rPr>
        <w:t xml:space="preserve">, так и искусственного происхождения) на пораженные участки </w:t>
      </w:r>
      <w:r w:rsidRPr="00E0551D">
        <w:rPr>
          <w:rFonts w:eastAsia="Times New Roman"/>
          <w:bCs/>
          <w:szCs w:val="24"/>
          <w:lang w:val="ru-RU" w:eastAsia="ru-RU"/>
        </w:rPr>
        <w:lastRenderedPageBreak/>
        <w:t>кожи. Кроме того, рекомендуется ограничение использования фототерапии у пациентов, получающих лечение с применением мази Форкал</w:t>
      </w:r>
      <w:r w:rsidRPr="00E0551D">
        <w:rPr>
          <w:rFonts w:eastAsia="Times New Roman"/>
          <w:bCs/>
          <w:szCs w:val="24"/>
          <w:vertAlign w:val="superscript"/>
          <w:lang w:val="ru-RU" w:eastAsia="ru-RU"/>
        </w:rPr>
        <w:t>®</w:t>
      </w:r>
      <w:r w:rsidRPr="00E0551D">
        <w:rPr>
          <w:rFonts w:eastAsia="Times New Roman"/>
          <w:bCs/>
          <w:szCs w:val="24"/>
          <w:lang w:val="ru-RU" w:eastAsia="ru-RU"/>
        </w:rPr>
        <w:t>.</w:t>
      </w:r>
    </w:p>
    <w:p w14:paraId="3E480338" w14:textId="77777777" w:rsidR="00E0551D" w:rsidRPr="00E0551D" w:rsidRDefault="00E0551D" w:rsidP="00E0551D">
      <w:pPr>
        <w:spacing w:after="0" w:line="240" w:lineRule="auto"/>
        <w:rPr>
          <w:rFonts w:eastAsia="Times New Roman"/>
          <w:bCs/>
          <w:szCs w:val="24"/>
          <w:lang w:val="ru-RU" w:eastAsia="ru-RU"/>
        </w:rPr>
      </w:pPr>
      <w:r w:rsidRPr="00E0551D">
        <w:rPr>
          <w:rFonts w:eastAsia="Times New Roman"/>
          <w:bCs/>
          <w:szCs w:val="24"/>
          <w:lang w:val="ru-RU" w:eastAsia="ru-RU"/>
        </w:rPr>
        <w:t>Отсутствует информация по применению мази с кальцитриолом при других клинических формах псориаза (иные, чем бляшечн</w:t>
      </w:r>
      <w:r>
        <w:rPr>
          <w:rFonts w:eastAsia="Times New Roman"/>
          <w:bCs/>
          <w:szCs w:val="24"/>
          <w:lang w:val="ru-RU" w:eastAsia="ru-RU"/>
        </w:rPr>
        <w:t>ый</w:t>
      </w:r>
      <w:r w:rsidRPr="00E0551D">
        <w:rPr>
          <w:rFonts w:eastAsia="Times New Roman"/>
          <w:bCs/>
          <w:szCs w:val="24"/>
          <w:lang w:val="ru-RU" w:eastAsia="ru-RU"/>
        </w:rPr>
        <w:t xml:space="preserve"> псориаз), в частности </w:t>
      </w:r>
      <w:r w:rsidRPr="00E0551D">
        <w:rPr>
          <w:rFonts w:eastAsia="Times New Roman"/>
          <w:bCs/>
          <w:i/>
          <w:szCs w:val="24"/>
          <w:lang w:val="ru-RU" w:eastAsia="ru-RU"/>
        </w:rPr>
        <w:t>Psoriasis guttata acuta</w:t>
      </w:r>
      <w:r w:rsidRPr="00E0551D">
        <w:rPr>
          <w:rFonts w:eastAsia="Times New Roman"/>
          <w:bCs/>
          <w:szCs w:val="24"/>
          <w:lang w:val="ru-RU" w:eastAsia="ru-RU"/>
        </w:rPr>
        <w:t>, пустулезный псориаз, Psoriasis erythrodermica и быстро прогрессирующий бляшечн</w:t>
      </w:r>
      <w:r>
        <w:rPr>
          <w:rFonts w:eastAsia="Times New Roman"/>
          <w:bCs/>
          <w:szCs w:val="24"/>
          <w:lang w:val="ru-RU" w:eastAsia="ru-RU"/>
        </w:rPr>
        <w:t>ый</w:t>
      </w:r>
      <w:r w:rsidRPr="00E0551D">
        <w:rPr>
          <w:rFonts w:eastAsia="Times New Roman"/>
          <w:bCs/>
          <w:szCs w:val="24"/>
          <w:lang w:val="ru-RU" w:eastAsia="ru-RU"/>
        </w:rPr>
        <w:t xml:space="preserve"> псориаз.</w:t>
      </w:r>
    </w:p>
    <w:p w14:paraId="6BB04E83" w14:textId="77777777" w:rsidR="00E0551D" w:rsidRPr="00E0551D" w:rsidRDefault="00E0551D" w:rsidP="00E0551D">
      <w:pPr>
        <w:spacing w:after="0" w:line="240" w:lineRule="auto"/>
        <w:rPr>
          <w:rFonts w:eastAsia="Times New Roman"/>
          <w:bCs/>
          <w:szCs w:val="24"/>
          <w:lang w:val="ru-RU" w:eastAsia="ru-RU"/>
        </w:rPr>
      </w:pPr>
      <w:r w:rsidRPr="00E0551D">
        <w:rPr>
          <w:rFonts w:eastAsia="Times New Roman"/>
          <w:bCs/>
          <w:szCs w:val="24"/>
          <w:lang w:val="ru-RU" w:eastAsia="ru-RU"/>
        </w:rPr>
        <w:t>Обычно препарат переносится хорошо. У части пациентов могут возникать побочные реакции, которые, как правило, локализуются в месте применения и характеризуются легким или умеренным характером течения, проходят самостоятельно. В случае сильного раздражения в месте применения мази или аллергических проявлений, контактного дерматита пациенту необходимо обратиться к врачу и при необходимости прекратить</w:t>
      </w:r>
      <w:r w:rsidR="008F5EFA">
        <w:rPr>
          <w:rFonts w:eastAsia="Times New Roman"/>
          <w:bCs/>
          <w:szCs w:val="24"/>
          <w:lang w:val="ru-RU" w:eastAsia="ru-RU"/>
        </w:rPr>
        <w:t xml:space="preserve"> лечение</w:t>
      </w:r>
      <w:r w:rsidRPr="00E0551D">
        <w:rPr>
          <w:rFonts w:eastAsia="Times New Roman"/>
          <w:bCs/>
          <w:szCs w:val="24"/>
          <w:lang w:val="ru-RU" w:eastAsia="ru-RU"/>
        </w:rPr>
        <w:t>.</w:t>
      </w:r>
    </w:p>
    <w:p w14:paraId="65C0E941" w14:textId="77777777" w:rsidR="00E0551D" w:rsidRDefault="00E0551D" w:rsidP="00E0551D">
      <w:pPr>
        <w:spacing w:after="0" w:line="240" w:lineRule="auto"/>
        <w:rPr>
          <w:rFonts w:eastAsia="Times New Roman"/>
          <w:bCs/>
          <w:szCs w:val="24"/>
          <w:lang w:val="ru-RU" w:eastAsia="ru-RU"/>
        </w:rPr>
      </w:pPr>
      <w:r w:rsidRPr="00E0551D">
        <w:rPr>
          <w:rFonts w:eastAsia="Times New Roman"/>
          <w:bCs/>
          <w:szCs w:val="24"/>
          <w:lang w:val="ru-RU" w:eastAsia="ru-RU"/>
        </w:rPr>
        <w:t xml:space="preserve">Препарат содержит пропиленгликоль, </w:t>
      </w:r>
      <w:r w:rsidR="008F5EFA">
        <w:rPr>
          <w:rFonts w:eastAsia="Times New Roman"/>
          <w:bCs/>
          <w:szCs w:val="24"/>
          <w:lang w:val="ru-RU" w:eastAsia="ru-RU"/>
        </w:rPr>
        <w:t>который</w:t>
      </w:r>
      <w:r w:rsidRPr="00E0551D">
        <w:rPr>
          <w:rFonts w:eastAsia="Times New Roman"/>
          <w:bCs/>
          <w:szCs w:val="24"/>
          <w:lang w:val="ru-RU" w:eastAsia="ru-RU"/>
        </w:rPr>
        <w:t xml:space="preserve"> может вызвать раздражение кожи.</w:t>
      </w:r>
    </w:p>
    <w:p w14:paraId="34C15195" w14:textId="77777777" w:rsidR="008F5EFA" w:rsidRDefault="008F5EFA" w:rsidP="00E0551D">
      <w:pPr>
        <w:spacing w:after="0" w:line="240" w:lineRule="auto"/>
        <w:rPr>
          <w:rFonts w:eastAsia="Times New Roman"/>
          <w:bCs/>
          <w:szCs w:val="24"/>
          <w:lang w:val="ru-RU" w:eastAsia="ru-RU"/>
        </w:rPr>
      </w:pPr>
    </w:p>
    <w:p w14:paraId="77639B57" w14:textId="77777777" w:rsidR="008F5EFA" w:rsidRPr="008F5EFA" w:rsidRDefault="008F5EFA" w:rsidP="008F5EFA">
      <w:pPr>
        <w:spacing w:after="0" w:line="240" w:lineRule="auto"/>
        <w:rPr>
          <w:rFonts w:eastAsia="Times New Roman"/>
          <w:bCs/>
          <w:i/>
          <w:szCs w:val="24"/>
          <w:lang w:val="ru-RU" w:eastAsia="ru-RU"/>
        </w:rPr>
      </w:pPr>
      <w:r w:rsidRPr="008F5EFA">
        <w:rPr>
          <w:rFonts w:eastAsia="Times New Roman"/>
          <w:bCs/>
          <w:i/>
          <w:szCs w:val="24"/>
          <w:lang w:val="ru-RU" w:eastAsia="ru-RU"/>
        </w:rPr>
        <w:t>Применение в период беременности или кормления грудью.</w:t>
      </w:r>
    </w:p>
    <w:p w14:paraId="434B4D1E" w14:textId="77777777" w:rsidR="008F5EFA" w:rsidRPr="008F5EFA" w:rsidRDefault="008F5EFA" w:rsidP="008F5EFA">
      <w:pPr>
        <w:spacing w:after="0" w:line="240" w:lineRule="auto"/>
        <w:rPr>
          <w:rFonts w:eastAsia="Times New Roman"/>
          <w:bCs/>
          <w:i/>
          <w:szCs w:val="24"/>
          <w:lang w:val="ru-RU" w:eastAsia="ru-RU"/>
        </w:rPr>
      </w:pPr>
      <w:r>
        <w:rPr>
          <w:rFonts w:eastAsia="Times New Roman"/>
          <w:bCs/>
          <w:i/>
          <w:szCs w:val="24"/>
          <w:lang w:val="ru-RU" w:eastAsia="ru-RU"/>
        </w:rPr>
        <w:t>Б</w:t>
      </w:r>
      <w:r w:rsidRPr="008F5EFA">
        <w:rPr>
          <w:rFonts w:eastAsia="Times New Roman"/>
          <w:bCs/>
          <w:i/>
          <w:szCs w:val="24"/>
          <w:lang w:val="ru-RU" w:eastAsia="ru-RU"/>
        </w:rPr>
        <w:t>еременность</w:t>
      </w:r>
      <w:r>
        <w:rPr>
          <w:rFonts w:eastAsia="Times New Roman"/>
          <w:bCs/>
          <w:i/>
          <w:szCs w:val="24"/>
          <w:lang w:val="ru-RU" w:eastAsia="ru-RU"/>
        </w:rPr>
        <w:t>.</w:t>
      </w:r>
    </w:p>
    <w:p w14:paraId="3ADA631F" w14:textId="77777777" w:rsidR="008F5EFA" w:rsidRPr="008F5EFA" w:rsidRDefault="008F5EFA" w:rsidP="008F5EFA">
      <w:pPr>
        <w:spacing w:after="0" w:line="240" w:lineRule="auto"/>
        <w:rPr>
          <w:rFonts w:eastAsia="Times New Roman"/>
          <w:bCs/>
          <w:szCs w:val="24"/>
          <w:lang w:val="ru-RU" w:eastAsia="ru-RU"/>
        </w:rPr>
      </w:pPr>
      <w:r w:rsidRPr="008F5EFA">
        <w:rPr>
          <w:rFonts w:eastAsia="Times New Roman"/>
          <w:bCs/>
          <w:szCs w:val="24"/>
          <w:lang w:val="ru-RU" w:eastAsia="ru-RU"/>
        </w:rPr>
        <w:t>Не рекомендуется применять в период беременности в связи с отсутствием достаточных данных относительно применения препарата беременным.</w:t>
      </w:r>
    </w:p>
    <w:p w14:paraId="67197354" w14:textId="77777777" w:rsidR="008F5EFA" w:rsidRPr="008F5EFA" w:rsidRDefault="008F5EFA" w:rsidP="008F5EFA">
      <w:pPr>
        <w:spacing w:after="0" w:line="240" w:lineRule="auto"/>
        <w:rPr>
          <w:rFonts w:eastAsia="Times New Roman"/>
          <w:bCs/>
          <w:i/>
          <w:szCs w:val="24"/>
          <w:lang w:val="ru-RU" w:eastAsia="ru-RU"/>
        </w:rPr>
      </w:pPr>
      <w:r w:rsidRPr="008F5EFA">
        <w:rPr>
          <w:rFonts w:eastAsia="Times New Roman"/>
          <w:bCs/>
          <w:i/>
          <w:szCs w:val="24"/>
          <w:lang w:val="ru-RU" w:eastAsia="ru-RU"/>
        </w:rPr>
        <w:t>Кормление грудью.</w:t>
      </w:r>
    </w:p>
    <w:p w14:paraId="566A39E7" w14:textId="77777777" w:rsidR="008F5EFA" w:rsidRPr="008F5EFA" w:rsidRDefault="008F5EFA" w:rsidP="008F5EFA">
      <w:pPr>
        <w:spacing w:after="0" w:line="240" w:lineRule="auto"/>
        <w:rPr>
          <w:rFonts w:eastAsia="Times New Roman"/>
          <w:bCs/>
          <w:szCs w:val="24"/>
          <w:lang w:val="ru-RU" w:eastAsia="ru-RU"/>
        </w:rPr>
      </w:pPr>
      <w:r w:rsidRPr="008F5EFA">
        <w:rPr>
          <w:rFonts w:eastAsia="Times New Roman"/>
          <w:bCs/>
          <w:szCs w:val="24"/>
          <w:lang w:val="ru-RU" w:eastAsia="ru-RU"/>
        </w:rPr>
        <w:t xml:space="preserve">Кальцитриол был обнаружен в молоке кормящих самок. Неизвестно, проникает </w:t>
      </w:r>
      <w:r>
        <w:rPr>
          <w:rFonts w:eastAsia="Times New Roman"/>
          <w:bCs/>
          <w:szCs w:val="24"/>
          <w:lang w:val="ru-RU" w:eastAsia="ru-RU"/>
        </w:rPr>
        <w:t xml:space="preserve">ли </w:t>
      </w:r>
      <w:r w:rsidRPr="008F5EFA">
        <w:rPr>
          <w:rFonts w:eastAsia="Times New Roman"/>
          <w:bCs/>
          <w:szCs w:val="24"/>
          <w:lang w:val="ru-RU" w:eastAsia="ru-RU"/>
        </w:rPr>
        <w:t>кальцитриол в грудное молоко, поэтому при необходимости назначения мази Форкал</w:t>
      </w:r>
      <w:r w:rsidRPr="008F5EFA">
        <w:rPr>
          <w:rFonts w:eastAsia="Times New Roman"/>
          <w:bCs/>
          <w:szCs w:val="24"/>
          <w:vertAlign w:val="superscript"/>
          <w:lang w:val="ru-RU" w:eastAsia="ru-RU"/>
        </w:rPr>
        <w:t>®</w:t>
      </w:r>
      <w:r w:rsidRPr="008F5EFA">
        <w:rPr>
          <w:rFonts w:eastAsia="Times New Roman"/>
          <w:bCs/>
          <w:szCs w:val="24"/>
          <w:lang w:val="ru-RU" w:eastAsia="ru-RU"/>
        </w:rPr>
        <w:t xml:space="preserve"> следует решить вопрос о прекращении кормления грудью.</w:t>
      </w:r>
    </w:p>
    <w:p w14:paraId="443C2B55" w14:textId="77777777" w:rsidR="008F5EFA" w:rsidRPr="008F5EFA" w:rsidRDefault="008F5EFA" w:rsidP="008F5EFA">
      <w:pPr>
        <w:spacing w:after="0" w:line="240" w:lineRule="auto"/>
        <w:rPr>
          <w:rFonts w:eastAsia="Times New Roman"/>
          <w:bCs/>
          <w:szCs w:val="24"/>
          <w:lang w:val="ru-RU" w:eastAsia="ru-RU"/>
        </w:rPr>
      </w:pPr>
    </w:p>
    <w:p w14:paraId="5357429B" w14:textId="77777777" w:rsidR="008F5EFA" w:rsidRPr="008F5EFA" w:rsidRDefault="008F5EFA" w:rsidP="008F5EFA">
      <w:pPr>
        <w:spacing w:after="0" w:line="240" w:lineRule="auto"/>
        <w:rPr>
          <w:rFonts w:eastAsia="Times New Roman"/>
          <w:bCs/>
          <w:i/>
          <w:szCs w:val="24"/>
          <w:lang w:val="ru-RU" w:eastAsia="ru-RU"/>
        </w:rPr>
      </w:pPr>
      <w:r w:rsidRPr="008F5EFA">
        <w:rPr>
          <w:rFonts w:eastAsia="Times New Roman"/>
          <w:bCs/>
          <w:i/>
          <w:szCs w:val="24"/>
          <w:lang w:val="ru-RU" w:eastAsia="ru-RU"/>
        </w:rPr>
        <w:t>Способность влиять на скорость реакции при управлении автотранспортом или другими механизмами.</w:t>
      </w:r>
    </w:p>
    <w:p w14:paraId="55A30F45" w14:textId="77777777" w:rsidR="008F5EFA" w:rsidRDefault="008F5EFA" w:rsidP="008F5EFA">
      <w:pPr>
        <w:spacing w:after="0" w:line="240" w:lineRule="auto"/>
        <w:rPr>
          <w:rFonts w:eastAsia="Times New Roman"/>
          <w:bCs/>
          <w:szCs w:val="24"/>
          <w:lang w:val="ru-RU" w:eastAsia="ru-RU"/>
        </w:rPr>
      </w:pPr>
      <w:r w:rsidRPr="008F5EFA">
        <w:rPr>
          <w:rFonts w:eastAsia="Times New Roman"/>
          <w:bCs/>
          <w:szCs w:val="24"/>
          <w:lang w:val="ru-RU" w:eastAsia="ru-RU"/>
        </w:rPr>
        <w:t>Не влияет.</w:t>
      </w:r>
    </w:p>
    <w:p w14:paraId="6B8DB789" w14:textId="77777777" w:rsidR="00E0551D" w:rsidRDefault="00E0551D" w:rsidP="008F5EFA">
      <w:pPr>
        <w:spacing w:after="0" w:line="240" w:lineRule="auto"/>
        <w:rPr>
          <w:rFonts w:eastAsia="Times New Roman"/>
          <w:bCs/>
          <w:szCs w:val="24"/>
          <w:lang w:val="ru-RU" w:eastAsia="ru-RU"/>
        </w:rPr>
      </w:pPr>
    </w:p>
    <w:p w14:paraId="36C6EB12" w14:textId="77777777" w:rsidR="008F5EFA" w:rsidRPr="008F5EFA" w:rsidRDefault="008F5EFA" w:rsidP="008F5EFA">
      <w:pPr>
        <w:spacing w:after="0" w:line="240" w:lineRule="auto"/>
        <w:rPr>
          <w:b/>
          <w:bCs/>
          <w:i/>
          <w:iCs/>
          <w:lang w:val="ru-RU"/>
        </w:rPr>
      </w:pPr>
      <w:r w:rsidRPr="008F5EFA">
        <w:rPr>
          <w:b/>
          <w:bCs/>
          <w:i/>
          <w:iCs/>
          <w:lang w:val="ru-RU"/>
        </w:rPr>
        <w:t>Способ применения и дозы.</w:t>
      </w:r>
    </w:p>
    <w:p w14:paraId="0834E563" w14:textId="77777777" w:rsidR="008F5EFA" w:rsidRPr="008F5EFA" w:rsidRDefault="008F5EFA" w:rsidP="008F5EFA">
      <w:pPr>
        <w:spacing w:after="0" w:line="240" w:lineRule="auto"/>
        <w:rPr>
          <w:bCs/>
          <w:iCs/>
          <w:lang w:val="ru-RU"/>
        </w:rPr>
      </w:pPr>
      <w:r w:rsidRPr="008F5EFA">
        <w:rPr>
          <w:bCs/>
          <w:iCs/>
          <w:lang w:val="ru-RU"/>
        </w:rPr>
        <w:t>Для наружного применения. Мазь наносят тонким слоем на пораженные участки кожи 2 раза в сутки (утром и вечером). Рекомендуется подвергать ежедневной обработке не более 35% поверхности тела. Не применять мазь в количестве более 30 г в сутки. Средняя продолжительность лечения составляет 6 недель. По рекомендации врача возможно более длительное лечение. Клинический опыт использования мази более 6 недель ограничен.</w:t>
      </w:r>
    </w:p>
    <w:p w14:paraId="7050C441" w14:textId="77777777" w:rsidR="008F5EFA" w:rsidRPr="008F5EFA" w:rsidRDefault="008F5EFA" w:rsidP="008F5EFA">
      <w:pPr>
        <w:spacing w:after="0" w:line="240" w:lineRule="auto"/>
        <w:rPr>
          <w:bCs/>
          <w:iCs/>
          <w:lang w:val="ru-RU"/>
        </w:rPr>
      </w:pPr>
    </w:p>
    <w:p w14:paraId="6585E1C7" w14:textId="77777777" w:rsidR="008F5EFA" w:rsidRPr="008F5EFA" w:rsidRDefault="008F5EFA" w:rsidP="008F5EFA">
      <w:pPr>
        <w:spacing w:after="0" w:line="240" w:lineRule="auto"/>
        <w:rPr>
          <w:bCs/>
          <w:i/>
          <w:iCs/>
          <w:lang w:val="ru-RU"/>
        </w:rPr>
      </w:pPr>
      <w:r w:rsidRPr="008F5EFA">
        <w:rPr>
          <w:bCs/>
          <w:i/>
          <w:iCs/>
          <w:lang w:val="ru-RU"/>
        </w:rPr>
        <w:t>Дети.</w:t>
      </w:r>
    </w:p>
    <w:p w14:paraId="5C338C59" w14:textId="77777777" w:rsidR="0089749F" w:rsidRDefault="008F5EFA" w:rsidP="008F5EFA">
      <w:pPr>
        <w:spacing w:after="0" w:line="240" w:lineRule="auto"/>
        <w:rPr>
          <w:bCs/>
          <w:iCs/>
          <w:lang w:val="ru-RU"/>
        </w:rPr>
      </w:pPr>
      <w:r w:rsidRPr="008F5EFA">
        <w:rPr>
          <w:bCs/>
          <w:iCs/>
          <w:lang w:val="ru-RU"/>
        </w:rPr>
        <w:t>В связи с отсутствием данных по применению мази кальцитриола детям препарат противопоказан этой возрастной категории пациентов.</w:t>
      </w:r>
    </w:p>
    <w:p w14:paraId="409C123E" w14:textId="77777777" w:rsidR="008F5EFA" w:rsidRDefault="008F5EFA" w:rsidP="008F5EFA">
      <w:pPr>
        <w:spacing w:after="0" w:line="240" w:lineRule="auto"/>
        <w:rPr>
          <w:bCs/>
          <w:iCs/>
          <w:lang w:val="ru-RU"/>
        </w:rPr>
      </w:pPr>
    </w:p>
    <w:p w14:paraId="3E749B2E" w14:textId="77777777" w:rsidR="008F5EFA" w:rsidRPr="008F5EFA" w:rsidRDefault="008F5EFA" w:rsidP="008F5EFA">
      <w:pPr>
        <w:spacing w:after="0" w:line="240" w:lineRule="auto"/>
        <w:rPr>
          <w:b/>
          <w:bCs/>
          <w:i/>
          <w:iCs/>
          <w:lang w:val="ru-RU"/>
        </w:rPr>
      </w:pPr>
      <w:r w:rsidRPr="008F5EFA">
        <w:rPr>
          <w:b/>
          <w:bCs/>
          <w:i/>
          <w:iCs/>
          <w:lang w:val="ru-RU"/>
        </w:rPr>
        <w:t>Передозировка.</w:t>
      </w:r>
    </w:p>
    <w:p w14:paraId="1A721891" w14:textId="77777777" w:rsidR="008F5EFA" w:rsidRPr="008F5EFA" w:rsidRDefault="008F5EFA" w:rsidP="008F5EFA">
      <w:pPr>
        <w:spacing w:after="0" w:line="240" w:lineRule="auto"/>
        <w:rPr>
          <w:bCs/>
          <w:iCs/>
          <w:lang w:val="ru-RU"/>
        </w:rPr>
      </w:pPr>
      <w:r w:rsidRPr="008F5EFA">
        <w:rPr>
          <w:bCs/>
          <w:iCs/>
          <w:lang w:val="ru-RU"/>
        </w:rPr>
        <w:t>При местном применении в рекомендованных дозах передозировк</w:t>
      </w:r>
      <w:r w:rsidR="00211EE4">
        <w:rPr>
          <w:bCs/>
          <w:iCs/>
          <w:lang w:val="ru-RU"/>
        </w:rPr>
        <w:t>а</w:t>
      </w:r>
      <w:r w:rsidRPr="008F5EFA">
        <w:rPr>
          <w:bCs/>
          <w:iCs/>
          <w:lang w:val="ru-RU"/>
        </w:rPr>
        <w:t xml:space="preserve"> </w:t>
      </w:r>
      <w:r w:rsidR="00211EE4">
        <w:rPr>
          <w:bCs/>
          <w:iCs/>
          <w:lang w:val="ru-RU"/>
        </w:rPr>
        <w:t>препарата маловероятна</w:t>
      </w:r>
      <w:r w:rsidRPr="008F5EFA">
        <w:rPr>
          <w:bCs/>
          <w:iCs/>
          <w:lang w:val="ru-RU"/>
        </w:rPr>
        <w:t>, однако при длительном лечении и избыточном нанесении мази (более 100 г в неделю) возможно возникновение гиперкальциемии и гиперкальциурии. В случае гиперкальциемии и гиперкальциурии необходимо прекратить прием препарата, пока уровни кальция в сыворотке крови и моче не вернутся к норме. При случайном приеме внутрь возможны анорексия, тошнота, рвота, запор, артериальная гипотензия, депрессия, иногда возможны сонливость и кома.</w:t>
      </w:r>
    </w:p>
    <w:p w14:paraId="262538E3" w14:textId="77777777" w:rsidR="008F5EFA" w:rsidRPr="008F5EFA" w:rsidRDefault="008F5EFA" w:rsidP="008F5EFA">
      <w:pPr>
        <w:spacing w:after="0" w:line="240" w:lineRule="auto"/>
        <w:rPr>
          <w:bCs/>
          <w:iCs/>
          <w:lang w:val="ru-RU"/>
        </w:rPr>
      </w:pPr>
      <w:r w:rsidRPr="008F5EFA">
        <w:rPr>
          <w:bCs/>
          <w:i/>
          <w:iCs/>
          <w:lang w:val="ru-RU"/>
        </w:rPr>
        <w:t>Лечение:</w:t>
      </w:r>
      <w:r w:rsidRPr="008F5EFA">
        <w:rPr>
          <w:bCs/>
          <w:iCs/>
          <w:lang w:val="ru-RU"/>
        </w:rPr>
        <w:t xml:space="preserve"> терапия симптоматическая.</w:t>
      </w:r>
    </w:p>
    <w:p w14:paraId="7D041781" w14:textId="77777777" w:rsidR="0089749F" w:rsidRPr="008F5EFA" w:rsidRDefault="0089749F" w:rsidP="008F5EFA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</w:p>
    <w:p w14:paraId="2106B52A" w14:textId="77777777" w:rsidR="008F5EFA" w:rsidRPr="008F5EFA" w:rsidRDefault="008F5EFA" w:rsidP="008F5EFA">
      <w:pPr>
        <w:shd w:val="clear" w:color="auto" w:fill="FFFFFF"/>
        <w:spacing w:after="0" w:line="240" w:lineRule="auto"/>
        <w:rPr>
          <w:rFonts w:eastAsia="MS Mincho"/>
          <w:b/>
          <w:bCs/>
          <w:i/>
          <w:szCs w:val="24"/>
          <w:lang w:val="ru-RU" w:eastAsia="ru-RU"/>
        </w:rPr>
      </w:pPr>
      <w:r w:rsidRPr="008F5EFA">
        <w:rPr>
          <w:rFonts w:eastAsia="MS Mincho"/>
          <w:b/>
          <w:bCs/>
          <w:i/>
          <w:szCs w:val="24"/>
          <w:lang w:val="ru-RU" w:eastAsia="ru-RU"/>
        </w:rPr>
        <w:t>Побочные реакции.</w:t>
      </w:r>
    </w:p>
    <w:p w14:paraId="1960C522" w14:textId="77777777" w:rsidR="008F5EFA" w:rsidRPr="008F5EFA" w:rsidRDefault="008F5EFA" w:rsidP="008F5EFA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8F5EFA">
        <w:rPr>
          <w:rFonts w:eastAsia="MS Mincho"/>
          <w:bCs/>
          <w:i/>
          <w:szCs w:val="24"/>
          <w:lang w:val="ru-RU" w:eastAsia="ru-RU"/>
        </w:rPr>
        <w:t>Со стороны иммунной системы:</w:t>
      </w:r>
      <w:r w:rsidRPr="008F5EFA">
        <w:rPr>
          <w:rFonts w:eastAsia="MS Mincho"/>
          <w:bCs/>
          <w:szCs w:val="24"/>
          <w:lang w:val="ru-RU" w:eastAsia="ru-RU"/>
        </w:rPr>
        <w:t xml:space="preserve"> реакции гиперчувствительности, включая аллергические реакции.</w:t>
      </w:r>
    </w:p>
    <w:p w14:paraId="307757A9" w14:textId="77777777" w:rsidR="008F5EFA" w:rsidRPr="008F5EFA" w:rsidRDefault="008F5EFA" w:rsidP="008F5EFA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8F5EFA">
        <w:rPr>
          <w:rFonts w:eastAsia="MS Mincho"/>
          <w:bCs/>
          <w:i/>
          <w:szCs w:val="24"/>
          <w:lang w:val="ru-RU" w:eastAsia="ru-RU"/>
        </w:rPr>
        <w:lastRenderedPageBreak/>
        <w:t>Со стороны кожи и придатков:</w:t>
      </w:r>
      <w:r w:rsidRPr="008F5EFA">
        <w:rPr>
          <w:rFonts w:eastAsia="MS Mincho"/>
          <w:bCs/>
          <w:szCs w:val="24"/>
          <w:lang w:val="ru-RU" w:eastAsia="ru-RU"/>
        </w:rPr>
        <w:t xml:space="preserve"> зуд, </w:t>
      </w:r>
      <w:r>
        <w:rPr>
          <w:rFonts w:eastAsia="MS Mincho"/>
          <w:bCs/>
          <w:szCs w:val="24"/>
          <w:lang w:val="ru-RU" w:eastAsia="ru-RU"/>
        </w:rPr>
        <w:t>ощущение</w:t>
      </w:r>
      <w:r w:rsidRPr="008F5EFA">
        <w:rPr>
          <w:rFonts w:eastAsia="MS Mincho"/>
          <w:bCs/>
          <w:szCs w:val="24"/>
          <w:lang w:val="ru-RU" w:eastAsia="ru-RU"/>
        </w:rPr>
        <w:t xml:space="preserve"> дискомфорта, жжени</w:t>
      </w:r>
      <w:r>
        <w:rPr>
          <w:rFonts w:eastAsia="MS Mincho"/>
          <w:bCs/>
          <w:szCs w:val="24"/>
          <w:lang w:val="ru-RU" w:eastAsia="ru-RU"/>
        </w:rPr>
        <w:t>е</w:t>
      </w:r>
      <w:r w:rsidRPr="008F5EFA">
        <w:rPr>
          <w:rFonts w:eastAsia="MS Mincho"/>
          <w:bCs/>
          <w:szCs w:val="24"/>
          <w:lang w:val="ru-RU" w:eastAsia="ru-RU"/>
        </w:rPr>
        <w:t>, раздражени</w:t>
      </w:r>
      <w:r>
        <w:rPr>
          <w:rFonts w:eastAsia="MS Mincho"/>
          <w:bCs/>
          <w:szCs w:val="24"/>
          <w:lang w:val="ru-RU" w:eastAsia="ru-RU"/>
        </w:rPr>
        <w:t>е</w:t>
      </w:r>
      <w:r w:rsidRPr="008F5EFA">
        <w:rPr>
          <w:rFonts w:eastAsia="MS Mincho"/>
          <w:bCs/>
          <w:szCs w:val="24"/>
          <w:lang w:val="ru-RU" w:eastAsia="ru-RU"/>
        </w:rPr>
        <w:t xml:space="preserve"> кожи (может принимать выраженн</w:t>
      </w:r>
      <w:r>
        <w:rPr>
          <w:rFonts w:eastAsia="MS Mincho"/>
          <w:bCs/>
          <w:szCs w:val="24"/>
          <w:lang w:val="ru-RU" w:eastAsia="ru-RU"/>
        </w:rPr>
        <w:t>ые</w:t>
      </w:r>
      <w:r w:rsidRPr="008F5EFA">
        <w:rPr>
          <w:rFonts w:eastAsia="MS Mincho"/>
          <w:bCs/>
          <w:szCs w:val="24"/>
          <w:lang w:val="ru-RU" w:eastAsia="ru-RU"/>
        </w:rPr>
        <w:t xml:space="preserve"> формы в виде пустул, папул или везикул), эритема (покраснение), сухость кожи, псориаз (ухудшение течения, обострения), отек кожи, контактный дерматит. Возможно возникновение дерматита на лице, в частности вокруг рта, который обычно проходит после отмены препарата.</w:t>
      </w:r>
    </w:p>
    <w:p w14:paraId="6D6AAB9C" w14:textId="77777777" w:rsidR="008F5EFA" w:rsidRPr="008F5EFA" w:rsidRDefault="008F5EFA" w:rsidP="008F5EFA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8F5EFA">
        <w:rPr>
          <w:rFonts w:eastAsia="MS Mincho"/>
          <w:bCs/>
          <w:i/>
          <w:szCs w:val="24"/>
          <w:lang w:val="ru-RU" w:eastAsia="ru-RU"/>
        </w:rPr>
        <w:t>Со стороны обмена веществ:</w:t>
      </w:r>
      <w:r w:rsidRPr="008F5EFA">
        <w:rPr>
          <w:rFonts w:eastAsia="MS Mincho"/>
          <w:bCs/>
          <w:szCs w:val="24"/>
          <w:lang w:val="ru-RU" w:eastAsia="ru-RU"/>
        </w:rPr>
        <w:t xml:space="preserve"> гиперкальциемия.</w:t>
      </w:r>
    </w:p>
    <w:p w14:paraId="304668DF" w14:textId="77777777" w:rsidR="008F5EFA" w:rsidRPr="008F5EFA" w:rsidRDefault="008F5EFA" w:rsidP="008F5EFA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8F5EFA">
        <w:rPr>
          <w:rFonts w:eastAsia="MS Mincho"/>
          <w:bCs/>
          <w:i/>
          <w:szCs w:val="24"/>
          <w:lang w:val="ru-RU" w:eastAsia="ru-RU"/>
        </w:rPr>
        <w:t>Со стороны почек и мочевыделительной системы:</w:t>
      </w:r>
      <w:r w:rsidRPr="008F5EFA">
        <w:rPr>
          <w:rFonts w:eastAsia="MS Mincho"/>
          <w:bCs/>
          <w:szCs w:val="24"/>
          <w:lang w:val="ru-RU" w:eastAsia="ru-RU"/>
        </w:rPr>
        <w:t xml:space="preserve"> гиперкальциурия, мочекаменная болезнь.</w:t>
      </w:r>
    </w:p>
    <w:p w14:paraId="18320DC1" w14:textId="77777777" w:rsidR="008F5EFA" w:rsidRPr="008F5EFA" w:rsidRDefault="008F5EFA" w:rsidP="008F5EFA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</w:p>
    <w:p w14:paraId="53465750" w14:textId="77777777" w:rsidR="0089749F" w:rsidRDefault="008F5EFA" w:rsidP="008F5EFA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8F5EFA">
        <w:rPr>
          <w:rFonts w:eastAsia="MS Mincho"/>
          <w:b/>
          <w:bCs/>
          <w:i/>
          <w:szCs w:val="24"/>
          <w:lang w:val="ru-RU" w:eastAsia="ru-RU"/>
        </w:rPr>
        <w:t>Срок годности.</w:t>
      </w:r>
      <w:r w:rsidRPr="008F5EFA">
        <w:rPr>
          <w:rFonts w:eastAsia="MS Mincho"/>
          <w:bCs/>
          <w:szCs w:val="24"/>
          <w:lang w:val="ru-RU" w:eastAsia="ru-RU"/>
        </w:rPr>
        <w:t xml:space="preserve"> 3 года.</w:t>
      </w:r>
    </w:p>
    <w:p w14:paraId="4C908CBA" w14:textId="77777777" w:rsidR="008F5EFA" w:rsidRPr="008F5EFA" w:rsidRDefault="008F5EFA" w:rsidP="008F5EFA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</w:p>
    <w:p w14:paraId="60738E4A" w14:textId="77777777" w:rsidR="008F5EFA" w:rsidRPr="008F5EFA" w:rsidRDefault="008F5EFA" w:rsidP="008F5EFA">
      <w:pPr>
        <w:shd w:val="clear" w:color="auto" w:fill="FFFFFF"/>
        <w:spacing w:after="0" w:line="240" w:lineRule="auto"/>
        <w:rPr>
          <w:rFonts w:eastAsia="MS Mincho"/>
          <w:b/>
          <w:bCs/>
          <w:szCs w:val="24"/>
          <w:lang w:val="ru-RU" w:eastAsia="ru-RU"/>
        </w:rPr>
      </w:pPr>
      <w:r w:rsidRPr="008F5EFA">
        <w:rPr>
          <w:rFonts w:eastAsia="MS Mincho"/>
          <w:b/>
          <w:bCs/>
          <w:szCs w:val="24"/>
          <w:lang w:val="ru-RU" w:eastAsia="ru-RU"/>
        </w:rPr>
        <w:t>Условия хранения.</w:t>
      </w:r>
    </w:p>
    <w:p w14:paraId="4C269B1A" w14:textId="77777777" w:rsidR="008F5EFA" w:rsidRPr="008F5EFA" w:rsidRDefault="008F5EFA" w:rsidP="008F5EFA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8F5EFA">
        <w:rPr>
          <w:rFonts w:eastAsia="MS Mincho"/>
          <w:bCs/>
          <w:szCs w:val="24"/>
          <w:lang w:val="ru-RU" w:eastAsia="ru-RU"/>
        </w:rPr>
        <w:t>Хранить при температуре не выше 25°С в оригинальной упаковке и в защищенном от света месте.</w:t>
      </w:r>
    </w:p>
    <w:p w14:paraId="001915B5" w14:textId="77777777" w:rsidR="008F5EFA" w:rsidRPr="008F5EFA" w:rsidRDefault="008F5EFA" w:rsidP="008F5EFA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8F5EFA">
        <w:rPr>
          <w:rFonts w:eastAsia="MS Mincho"/>
          <w:bCs/>
          <w:szCs w:val="24"/>
          <w:lang w:val="ru-RU" w:eastAsia="ru-RU"/>
        </w:rPr>
        <w:t>Хранить в недоступном для детей месте.</w:t>
      </w:r>
    </w:p>
    <w:p w14:paraId="5D626B63" w14:textId="77777777" w:rsidR="008F5EFA" w:rsidRPr="008F5EFA" w:rsidRDefault="008F5EFA" w:rsidP="008F5EFA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</w:p>
    <w:p w14:paraId="23BE9C5F" w14:textId="77777777" w:rsidR="008F5EFA" w:rsidRPr="008F5EFA" w:rsidRDefault="008F5EFA" w:rsidP="008F5EFA">
      <w:pPr>
        <w:shd w:val="clear" w:color="auto" w:fill="FFFFFF"/>
        <w:spacing w:after="0" w:line="240" w:lineRule="auto"/>
        <w:rPr>
          <w:rFonts w:eastAsia="MS Mincho"/>
          <w:b/>
          <w:bCs/>
          <w:szCs w:val="24"/>
          <w:lang w:val="ru-RU" w:eastAsia="ru-RU"/>
        </w:rPr>
      </w:pPr>
      <w:r w:rsidRPr="008F5EFA">
        <w:rPr>
          <w:rFonts w:eastAsia="MS Mincho"/>
          <w:b/>
          <w:bCs/>
          <w:szCs w:val="24"/>
          <w:lang w:val="ru-RU" w:eastAsia="ru-RU"/>
        </w:rPr>
        <w:t>Упаковка.</w:t>
      </w:r>
    </w:p>
    <w:p w14:paraId="62819CBC" w14:textId="77777777" w:rsidR="008F5EFA" w:rsidRPr="008F5EFA" w:rsidRDefault="008F5EFA" w:rsidP="008F5EFA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8F5EFA">
        <w:rPr>
          <w:rFonts w:eastAsia="MS Mincho"/>
          <w:bCs/>
          <w:szCs w:val="24"/>
          <w:lang w:val="ru-RU" w:eastAsia="ru-RU"/>
        </w:rPr>
        <w:t>По 30 г, по 100 г в тубах, по 1 тубе в картонной упаковке.</w:t>
      </w:r>
    </w:p>
    <w:p w14:paraId="2166C94A" w14:textId="77777777" w:rsidR="008F5EFA" w:rsidRPr="008F5EFA" w:rsidRDefault="008F5EFA" w:rsidP="008F5EFA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</w:p>
    <w:p w14:paraId="7F44F26C" w14:textId="77777777" w:rsidR="008F5EFA" w:rsidRPr="008F5EFA" w:rsidRDefault="008F5EFA" w:rsidP="008F5EFA">
      <w:pPr>
        <w:shd w:val="clear" w:color="auto" w:fill="FFFFFF"/>
        <w:spacing w:after="0" w:line="240" w:lineRule="auto"/>
        <w:rPr>
          <w:rFonts w:eastAsia="MS Mincho"/>
          <w:b/>
          <w:bCs/>
          <w:szCs w:val="24"/>
          <w:lang w:val="ru-RU" w:eastAsia="ru-RU"/>
        </w:rPr>
      </w:pPr>
      <w:r w:rsidRPr="008F5EFA">
        <w:rPr>
          <w:rFonts w:eastAsia="MS Mincho"/>
          <w:b/>
          <w:bCs/>
          <w:szCs w:val="24"/>
          <w:lang w:val="ru-RU" w:eastAsia="ru-RU"/>
        </w:rPr>
        <w:t>Категория отпуска.</w:t>
      </w:r>
    </w:p>
    <w:p w14:paraId="13151193" w14:textId="77777777" w:rsidR="008F5EFA" w:rsidRPr="008F5EFA" w:rsidRDefault="008F5EFA" w:rsidP="008F5EFA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8F5EFA">
        <w:rPr>
          <w:rFonts w:eastAsia="MS Mincho"/>
          <w:bCs/>
          <w:szCs w:val="24"/>
          <w:lang w:val="ru-RU" w:eastAsia="ru-RU"/>
        </w:rPr>
        <w:t>По рецепту.</w:t>
      </w:r>
    </w:p>
    <w:p w14:paraId="2A4FDD17" w14:textId="77777777" w:rsidR="0089749F" w:rsidRPr="008C2985" w:rsidRDefault="0089749F" w:rsidP="0089749F">
      <w:pPr>
        <w:shd w:val="clear" w:color="auto" w:fill="FFFFFF"/>
        <w:spacing w:after="0" w:line="240" w:lineRule="auto"/>
        <w:rPr>
          <w:rFonts w:eastAsia="MS Mincho"/>
          <w:bCs/>
          <w:szCs w:val="24"/>
          <w:lang w:eastAsia="ru-RU"/>
        </w:rPr>
      </w:pPr>
    </w:p>
    <w:p w14:paraId="54E18708" w14:textId="77777777" w:rsidR="008F5EFA" w:rsidRPr="008F5EFA" w:rsidRDefault="008F5EFA" w:rsidP="008F5EFA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8F5EFA">
        <w:rPr>
          <w:rFonts w:eastAsia="MS Mincho"/>
          <w:bCs/>
          <w:szCs w:val="24"/>
          <w:lang w:val="ru-RU" w:eastAsia="ru-RU"/>
        </w:rPr>
        <w:t>Производитель.</w:t>
      </w:r>
    </w:p>
    <w:p w14:paraId="6B062947" w14:textId="77777777" w:rsidR="008F5EFA" w:rsidRPr="008F5EFA" w:rsidRDefault="008F5EFA" w:rsidP="008F5EFA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8F5EFA">
        <w:rPr>
          <w:rFonts w:eastAsia="MS Mincho"/>
          <w:bCs/>
          <w:szCs w:val="24"/>
          <w:lang w:val="ru-RU" w:eastAsia="ru-RU"/>
        </w:rPr>
        <w:t>КУСУМ ХЕЛТХКЕР ПВТ</w:t>
      </w:r>
      <w:r>
        <w:rPr>
          <w:rFonts w:eastAsia="MS Mincho"/>
          <w:bCs/>
          <w:szCs w:val="24"/>
          <w:lang w:val="ru-RU" w:eastAsia="ru-RU"/>
        </w:rPr>
        <w:t>.</w:t>
      </w:r>
      <w:r w:rsidRPr="008F5EFA">
        <w:rPr>
          <w:rFonts w:eastAsia="MS Mincho"/>
          <w:bCs/>
          <w:szCs w:val="24"/>
          <w:lang w:val="ru-RU" w:eastAsia="ru-RU"/>
        </w:rPr>
        <w:t xml:space="preserve"> ЛТД /</w:t>
      </w:r>
    </w:p>
    <w:p w14:paraId="666A6DCB" w14:textId="77777777" w:rsidR="008F5EFA" w:rsidRPr="008F5EFA" w:rsidRDefault="008F5EFA" w:rsidP="008F5EFA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  <w:r w:rsidRPr="008F5EFA">
        <w:rPr>
          <w:rFonts w:eastAsia="MS Mincho"/>
          <w:bCs/>
          <w:szCs w:val="24"/>
          <w:lang w:val="ru-RU" w:eastAsia="ru-RU"/>
        </w:rPr>
        <w:t>KUSUM HEALTHCARE PVT</w:t>
      </w:r>
      <w:r>
        <w:rPr>
          <w:rFonts w:eastAsia="MS Mincho"/>
          <w:bCs/>
          <w:szCs w:val="24"/>
          <w:lang w:val="ru-RU" w:eastAsia="ru-RU"/>
        </w:rPr>
        <w:t>.</w:t>
      </w:r>
      <w:r w:rsidRPr="008F5EFA">
        <w:rPr>
          <w:rFonts w:eastAsia="MS Mincho"/>
          <w:bCs/>
          <w:szCs w:val="24"/>
          <w:lang w:val="ru-RU" w:eastAsia="ru-RU"/>
        </w:rPr>
        <w:t xml:space="preserve"> LTD.</w:t>
      </w:r>
    </w:p>
    <w:p w14:paraId="1C02FF42" w14:textId="77777777" w:rsidR="008F5EFA" w:rsidRPr="008F5EFA" w:rsidRDefault="008F5EFA" w:rsidP="008F5EFA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</w:p>
    <w:p w14:paraId="3A0739C7" w14:textId="77777777" w:rsidR="008F5EFA" w:rsidRPr="008F5EFA" w:rsidRDefault="008F5EFA" w:rsidP="008F5EFA">
      <w:pPr>
        <w:shd w:val="clear" w:color="auto" w:fill="FFFFFF"/>
        <w:spacing w:after="0" w:line="240" w:lineRule="auto"/>
        <w:rPr>
          <w:rFonts w:eastAsia="MS Mincho"/>
          <w:b/>
          <w:bCs/>
          <w:szCs w:val="24"/>
          <w:lang w:val="ru-RU" w:eastAsia="ru-RU"/>
        </w:rPr>
      </w:pPr>
      <w:r w:rsidRPr="008F5EFA">
        <w:rPr>
          <w:rFonts w:eastAsia="MS Mincho"/>
          <w:b/>
          <w:bCs/>
          <w:szCs w:val="24"/>
          <w:lang w:val="ru-RU" w:eastAsia="ru-RU"/>
        </w:rPr>
        <w:t>Местонахождение производителя и его адрес места осуществления деятельности.</w:t>
      </w:r>
    </w:p>
    <w:p w14:paraId="424066FA" w14:textId="77777777" w:rsidR="008F5EFA" w:rsidRPr="000D068B" w:rsidRDefault="008F5EFA" w:rsidP="008F5EFA">
      <w:pPr>
        <w:shd w:val="clear" w:color="auto" w:fill="FFFFFF"/>
        <w:spacing w:after="0" w:line="240" w:lineRule="auto"/>
        <w:rPr>
          <w:rFonts w:eastAsia="MS Mincho"/>
          <w:bCs/>
          <w:szCs w:val="24"/>
          <w:lang w:val="en-US" w:eastAsia="ru-RU"/>
        </w:rPr>
      </w:pPr>
      <w:r w:rsidRPr="008F5EFA">
        <w:rPr>
          <w:rFonts w:eastAsia="MS Mincho"/>
          <w:bCs/>
          <w:szCs w:val="24"/>
          <w:lang w:val="ru-RU" w:eastAsia="ru-RU"/>
        </w:rPr>
        <w:t>СП-289 (A), РИИК</w:t>
      </w:r>
      <w:r>
        <w:rPr>
          <w:rFonts w:eastAsia="MS Mincho"/>
          <w:bCs/>
          <w:szCs w:val="24"/>
          <w:lang w:val="ru-RU" w:eastAsia="ru-RU"/>
        </w:rPr>
        <w:t>О</w:t>
      </w:r>
      <w:r w:rsidRPr="008F5EFA">
        <w:rPr>
          <w:rFonts w:eastAsia="MS Mincho"/>
          <w:bCs/>
          <w:szCs w:val="24"/>
          <w:lang w:val="ru-RU" w:eastAsia="ru-RU"/>
        </w:rPr>
        <w:t xml:space="preserve"> Индастриал ареа, Чопанки, Бхивади, </w:t>
      </w:r>
      <w:r>
        <w:rPr>
          <w:rFonts w:eastAsia="MS Mincho"/>
          <w:bCs/>
          <w:szCs w:val="24"/>
          <w:lang w:val="ru-RU" w:eastAsia="ru-RU"/>
        </w:rPr>
        <w:t>Дист</w:t>
      </w:r>
      <w:r w:rsidRPr="008F5EFA">
        <w:rPr>
          <w:rFonts w:eastAsia="MS Mincho"/>
          <w:bCs/>
          <w:szCs w:val="24"/>
          <w:lang w:val="ru-RU" w:eastAsia="ru-RU"/>
        </w:rPr>
        <w:t>. Алвар</w:t>
      </w:r>
      <w:r w:rsidRPr="000D068B">
        <w:rPr>
          <w:rFonts w:eastAsia="MS Mincho"/>
          <w:bCs/>
          <w:szCs w:val="24"/>
          <w:lang w:val="en-US" w:eastAsia="ru-RU"/>
        </w:rPr>
        <w:t xml:space="preserve"> (</w:t>
      </w:r>
      <w:r w:rsidRPr="008F5EFA">
        <w:rPr>
          <w:rFonts w:eastAsia="MS Mincho"/>
          <w:bCs/>
          <w:szCs w:val="24"/>
          <w:lang w:val="ru-RU" w:eastAsia="ru-RU"/>
        </w:rPr>
        <w:t>Раджастан</w:t>
      </w:r>
      <w:r w:rsidRPr="000D068B">
        <w:rPr>
          <w:rFonts w:eastAsia="MS Mincho"/>
          <w:bCs/>
          <w:szCs w:val="24"/>
          <w:lang w:val="en-US" w:eastAsia="ru-RU"/>
        </w:rPr>
        <w:t xml:space="preserve">), </w:t>
      </w:r>
      <w:r w:rsidRPr="008F5EFA">
        <w:rPr>
          <w:rFonts w:eastAsia="MS Mincho"/>
          <w:bCs/>
          <w:szCs w:val="24"/>
          <w:lang w:val="ru-RU" w:eastAsia="ru-RU"/>
        </w:rPr>
        <w:t>Индия</w:t>
      </w:r>
      <w:r w:rsidRPr="000D068B">
        <w:rPr>
          <w:rFonts w:eastAsia="MS Mincho"/>
          <w:bCs/>
          <w:szCs w:val="24"/>
          <w:lang w:val="en-US" w:eastAsia="ru-RU"/>
        </w:rPr>
        <w:t xml:space="preserve"> /</w:t>
      </w:r>
    </w:p>
    <w:p w14:paraId="3BBB5CF0" w14:textId="77777777" w:rsidR="008F5EFA" w:rsidRPr="000D068B" w:rsidRDefault="008F5EFA" w:rsidP="008F5EFA">
      <w:pPr>
        <w:shd w:val="clear" w:color="auto" w:fill="FFFFFF"/>
        <w:spacing w:after="0" w:line="240" w:lineRule="auto"/>
        <w:rPr>
          <w:rFonts w:eastAsia="MS Mincho"/>
          <w:bCs/>
          <w:szCs w:val="24"/>
          <w:lang w:val="en-US" w:eastAsia="ru-RU"/>
        </w:rPr>
      </w:pPr>
      <w:r w:rsidRPr="000D068B">
        <w:rPr>
          <w:rFonts w:eastAsia="MS Mincho"/>
          <w:bCs/>
          <w:szCs w:val="24"/>
          <w:lang w:val="en-US" w:eastAsia="ru-RU"/>
        </w:rPr>
        <w:t>SP-289 (A), RIICO Industrial area, Chopanki, Bhiwadi, Dist. Alwar (Rajasthan), India.</w:t>
      </w:r>
    </w:p>
    <w:p w14:paraId="1DE92E0B" w14:textId="77777777" w:rsidR="008F5EFA" w:rsidRPr="000D068B" w:rsidRDefault="008F5EFA" w:rsidP="008F5EFA">
      <w:pPr>
        <w:shd w:val="clear" w:color="auto" w:fill="FFFFFF"/>
        <w:spacing w:after="0" w:line="240" w:lineRule="auto"/>
        <w:rPr>
          <w:rFonts w:eastAsia="MS Mincho"/>
          <w:bCs/>
          <w:szCs w:val="24"/>
          <w:lang w:val="en-US" w:eastAsia="ru-RU"/>
        </w:rPr>
      </w:pPr>
    </w:p>
    <w:p w14:paraId="15982115" w14:textId="77777777" w:rsidR="0089749F" w:rsidRPr="008F5EFA" w:rsidRDefault="008F5EFA" w:rsidP="008F5EFA">
      <w:pPr>
        <w:shd w:val="clear" w:color="auto" w:fill="FFFFFF"/>
        <w:spacing w:after="0" w:line="240" w:lineRule="auto"/>
        <w:rPr>
          <w:rFonts w:eastAsia="MS Mincho"/>
          <w:b/>
          <w:bCs/>
          <w:szCs w:val="24"/>
          <w:lang w:val="ru-RU" w:eastAsia="ru-RU"/>
        </w:rPr>
      </w:pPr>
      <w:r w:rsidRPr="008F5EFA">
        <w:rPr>
          <w:rFonts w:eastAsia="MS Mincho"/>
          <w:b/>
          <w:bCs/>
          <w:szCs w:val="24"/>
          <w:lang w:val="ru-RU" w:eastAsia="ru-RU"/>
        </w:rPr>
        <w:t>Дата последнего пересмотра.</w:t>
      </w:r>
    </w:p>
    <w:p w14:paraId="0839E83E" w14:textId="77777777" w:rsidR="008F5EFA" w:rsidRPr="008C2985" w:rsidRDefault="008F5EFA" w:rsidP="0089749F">
      <w:pPr>
        <w:shd w:val="clear" w:color="auto" w:fill="FFFFFF"/>
        <w:spacing w:after="0" w:line="240" w:lineRule="auto"/>
        <w:rPr>
          <w:rFonts w:eastAsia="MS Mincho"/>
          <w:bCs/>
          <w:szCs w:val="24"/>
          <w:lang w:val="ru-RU" w:eastAsia="ru-RU"/>
        </w:rPr>
      </w:pPr>
    </w:p>
    <w:sectPr w:rsidR="008F5EFA" w:rsidRPr="008C2985" w:rsidSect="0093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82814"/>
    <w:multiLevelType w:val="hybridMultilevel"/>
    <w:tmpl w:val="9434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D7E59"/>
    <w:multiLevelType w:val="hybridMultilevel"/>
    <w:tmpl w:val="BF9A3074"/>
    <w:lvl w:ilvl="0" w:tplc="34DA1F5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569294">
    <w:abstractNumId w:val="0"/>
  </w:num>
  <w:num w:numId="2" w16cid:durableId="836075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9F"/>
    <w:rsid w:val="00034D21"/>
    <w:rsid w:val="000D068B"/>
    <w:rsid w:val="0018795A"/>
    <w:rsid w:val="001B2C53"/>
    <w:rsid w:val="00211EE4"/>
    <w:rsid w:val="0037578E"/>
    <w:rsid w:val="00380814"/>
    <w:rsid w:val="003A7531"/>
    <w:rsid w:val="004425A8"/>
    <w:rsid w:val="00525D75"/>
    <w:rsid w:val="00572B21"/>
    <w:rsid w:val="00627DFF"/>
    <w:rsid w:val="006315DC"/>
    <w:rsid w:val="006E3CC6"/>
    <w:rsid w:val="0070383F"/>
    <w:rsid w:val="00734515"/>
    <w:rsid w:val="007D42C4"/>
    <w:rsid w:val="0082742A"/>
    <w:rsid w:val="00883D5A"/>
    <w:rsid w:val="008900D7"/>
    <w:rsid w:val="0089749F"/>
    <w:rsid w:val="008C2985"/>
    <w:rsid w:val="008F5EFA"/>
    <w:rsid w:val="00937096"/>
    <w:rsid w:val="0096702D"/>
    <w:rsid w:val="0099739F"/>
    <w:rsid w:val="00A626EA"/>
    <w:rsid w:val="00A77FCC"/>
    <w:rsid w:val="00B84B0C"/>
    <w:rsid w:val="00D84422"/>
    <w:rsid w:val="00E0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B09E"/>
  <w15:docId w15:val="{6B4121B1-8846-4737-B803-0580E860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49F"/>
    <w:pPr>
      <w:spacing w:after="160" w:line="259" w:lineRule="auto"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89749F"/>
  </w:style>
  <w:style w:type="paragraph" w:styleId="a3">
    <w:name w:val="List Paragraph"/>
    <w:basedOn w:val="a"/>
    <w:uiPriority w:val="34"/>
    <w:qFormat/>
    <w:rsid w:val="0089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1458C3B26AF845B1E7FBE9F0ED9242" ma:contentTypeVersion="58" ma:contentTypeDescription="Создание документа." ma:contentTypeScope="" ma:versionID="efa9618d44a7c3efa364b8b0d740d637">
  <xsd:schema xmlns:xsd="http://www.w3.org/2001/XMLSchema" xmlns:xs="http://www.w3.org/2001/XMLSchema" xmlns:p="http://schemas.microsoft.com/office/2006/metadata/properties" xmlns:ns2="b3a21375-d62e-480e-9cb1-d44bbf5c8ebb" xmlns:ns3="1bd91e6f-3656-434e-816a-8e36a40f3c20" targetNamespace="http://schemas.microsoft.com/office/2006/metadata/properties" ma:root="true" ma:fieldsID="1fd00419599174f5cbb378c1f8ca9c36" ns2:_="" ns3:_="">
    <xsd:import namespace="b3a21375-d62e-480e-9cb1-d44bbf5c8ebb"/>
    <xsd:import namespace="1bd91e6f-3656-434e-816a-8e36a40f3c2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x041d__x0430__x043f__x0440__x0430__x0432__x043b__x0435__x043d__x0438__x044f_" minOccurs="0"/>
                <xsd:element ref="ns3:_x0411__x0440__x0435__x043d__x0434__x044b_" minOccurs="0"/>
                <xsd:element ref="ns3:_x0422__x0438__x043f__x0020__x0434__x043e__x043a__x0443__x043c__x0435__x043d__x0442__x0430_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x0421__x043f__x0438__x043a__x0435__x0440_" minOccurs="0"/>
                <xsd:element ref="ns3:MediaLengthInSeconds" minOccurs="0"/>
                <xsd:element ref="ns3:MediaServiceLocation" minOccurs="0"/>
                <xsd:element ref="ns3:_x042f__x0437__x044b__x043a_" minOccurs="0"/>
                <xsd:element ref="ns3:INN_x0029_" minOccurs="0"/>
                <xsd:element ref="ns3:Status" minOccurs="0"/>
                <xsd:element ref="ns3:Product_x0020_Manager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21375-d62e-480e-9cb1-d44bbf5c8eb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Корпоративные ключевые слова" ma:readOnly="false" ma:fieldId="{23f27201-bee3-471e-b2e7-b64fd8b7ca38}" ma:taxonomyMulti="true" ma:sspId="b7279cfa-ecda-402d-ac01-bc3e7207f24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be5dfda-c4fa-43e0-9669-61ade66ca4bf}" ma:internalName="TaxCatchAll" ma:readOnly="false" ma:showField="CatchAllData" ma:web="b3a21375-d62e-480e-9cb1-d44bbf5c8e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91e6f-3656-434e-816a-8e36a40f3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_x041d__x0430__x043f__x0440__x0430__x0432__x043b__x0435__x043d__x0438__x044f_" ma:index="15" nillable="true" ma:displayName="Направления" ma:format="Dropdown" ma:list="292ad27d-1b06-4b9e-ad34-a563f89e5159" ma:internalName="_x041d__x0430__x043f__x0440__x0430__x0432__x043b__x0435__x043d__x0438__x044f_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1__x0440__x0435__x043d__x0434__x044b_" ma:index="16" nillable="true" ma:displayName="Бренды" ma:format="Dropdown" ma:list="3b0a4e35-e3af-45d5-82df-8fb245869522" ma:internalName="_x0411__x0440__x0435__x043d__x0434__x044b_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22__x0438__x043f__x0020__x0434__x043e__x043a__x0443__x043c__x0435__x043d__x0442__x0430_" ma:index="17" nillable="true" ma:displayName="Тип документа" ma:format="Dropdown" ma:indexed="true" ma:list="cdee49ed-b616-45e4-bebf-ce73e70c7c45" ma:internalName="_x0422__x0438__x043f__x0020__x0434__x043e__x043a__x0443__x043c__x0435__x043d__x0442__x0430_" ma:showField="Title">
      <xsd:simpleType>
        <xsd:restriction base="dms:Lookup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_x0421__x043f__x0438__x043a__x0435__x0440_" ma:index="25" nillable="true" ma:displayName="Спикер" ma:description="Автор презентации" ma:internalName="_x0421__x043f__x0438__x043a__x0435__x0440_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_x042f__x0437__x044b__x043a_" ma:index="28" nillable="true" ma:displayName="Язык" ma:description="Язык документа" ma:format="Dropdown" ma:internalName="_x042f__x0437__x044b__x043a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UK"/>
                        <xsd:enumeration value="RU"/>
                        <xsd:enumeration value="E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INN_x0029_" ma:index="29" nillable="true" ma:displayName="INN)" ma:description="International Nonproprietary Names" ma:format="Dropdown" ma:internalName="INN_x0029_">
      <xsd:simpleType>
        <xsd:restriction base="dms:Text">
          <xsd:maxLength value="255"/>
        </xsd:restriction>
      </xsd:simpleType>
    </xsd:element>
    <xsd:element name="Status" ma:index="30" nillable="true" ma:displayName="Status" ma:format="Dropdown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TC"/>
                    <xsd:enumeration value="RX"/>
                  </xsd:restriction>
                </xsd:simpleType>
              </xsd:element>
            </xsd:sequence>
          </xsd:extension>
        </xsd:complexContent>
      </xsd:complexType>
    </xsd:element>
    <xsd:element name="Product_x0020_Manager" ma:index="31" nillable="true" ma:displayName="Product Manager" ma:format="Dropdown" ma:internalName="Product_x0020_Manager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latcheva Maryna"/>
                        <xsd:enumeration value="Alieksieieva Olena"/>
                        <xsd:enumeration value="Alekseiev Oleksandr"/>
                        <xsd:enumeration value="Grebeniuk Anzhelika"/>
                        <xsd:enumeration value="Ishutkin Oleksandr"/>
                        <xsd:enumeration value="Omelianenko Nataliia"/>
                        <xsd:enumeration value="Pronko Ivan"/>
                        <xsd:enumeration value="Raichenko Trokhym"/>
                        <xsd:enumeration value="Khmel Nadiia"/>
                        <xsd:enumeration value="Olianova Khrystyna"/>
                        <xsd:enumeration value="Kondratenko Alina"/>
                        <xsd:enumeration value="Bilyk Viktoriya"/>
                        <xsd:enumeration value="Finishyna Maryna"/>
                        <xsd:enumeration value="Zaporozhska Nataliya"/>
                        <xsd:enumeration value="Chuba Pavlo"/>
                        <xsd:enumeration value="Tretyak Alla"/>
                        <xsd:enumeration value="Merezhko Olha"/>
                        <xsd:enumeration value="Drapohuz Serhii"/>
                        <xsd:enumeration value="Sokolianska-Kiba Natalia"/>
                        <xsd:enumeration value="Kondratenko Tetiana"/>
                        <xsd:enumeration value="Kosenkov Volodymy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33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b7279cfa-ecda-402d-ac01-bc3e7207f2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d__x0430__x043f__x0440__x0430__x0432__x043b__x0435__x043d__x0438__x044f_ xmlns="1bd91e6f-3656-434e-816a-8e36a40f3c20" xsi:nil="true"/>
    <Product_x0020_Manager xmlns="1bd91e6f-3656-434e-816a-8e36a40f3c20" xsi:nil="true"/>
    <TaxKeywordTaxHTField xmlns="b3a21375-d62e-480e-9cb1-d44bbf5c8ebb">
      <Terms xmlns="http://schemas.microsoft.com/office/infopath/2007/PartnerControls"/>
    </TaxKeywordTaxHTField>
    <INN_x0029_ xmlns="1bd91e6f-3656-434e-816a-8e36a40f3c20" xsi:nil="true"/>
    <TaxCatchAll xmlns="b3a21375-d62e-480e-9cb1-d44bbf5c8ebb" xsi:nil="true"/>
    <lcf76f155ced4ddcb4097134ff3c332f xmlns="1bd91e6f-3656-434e-816a-8e36a40f3c20">
      <Terms xmlns="http://schemas.microsoft.com/office/infopath/2007/PartnerControls"/>
    </lcf76f155ced4ddcb4097134ff3c332f>
    <_x042f__x0437__x044b__x043a_ xmlns="1bd91e6f-3656-434e-816a-8e36a40f3c20" xsi:nil="true"/>
    <_x0421__x043f__x0438__x043a__x0435__x0440_ xmlns="1bd91e6f-3656-434e-816a-8e36a40f3c20" xsi:nil="true"/>
    <_x0411__x0440__x0435__x043d__x0434__x044b_ xmlns="1bd91e6f-3656-434e-816a-8e36a40f3c20" xsi:nil="true"/>
    <_x0422__x0438__x043f__x0020__x0434__x043e__x043a__x0443__x043c__x0435__x043d__x0442__x0430_ xmlns="1bd91e6f-3656-434e-816a-8e36a40f3c20" xsi:nil="true"/>
    <Status xmlns="1bd91e6f-3656-434e-816a-8e36a40f3c20" xsi:nil="true"/>
  </documentManagement>
</p:properties>
</file>

<file path=customXml/itemProps1.xml><?xml version="1.0" encoding="utf-8"?>
<ds:datastoreItem xmlns:ds="http://schemas.openxmlformats.org/officeDocument/2006/customXml" ds:itemID="{C1D03213-6173-4A46-98FF-38A1EB4A5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8AD7C5-1569-4A5D-BBF0-A2C985F3D401}"/>
</file>

<file path=customXml/itemProps3.xml><?xml version="1.0" encoding="utf-8"?>
<ds:datastoreItem xmlns:ds="http://schemas.openxmlformats.org/officeDocument/2006/customXml" ds:itemID="{C794C4FC-70C9-4ED2-A85F-AEF46A3AF4FB}"/>
</file>

<file path=customXml/itemProps4.xml><?xml version="1.0" encoding="utf-8"?>
<ds:datastoreItem xmlns:ds="http://schemas.openxmlformats.org/officeDocument/2006/customXml" ds:itemID="{A98A96E7-0C1A-4D82-B24E-594CC713F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GladPharm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Prizimirskaya.Tamara</dc:creator>
  <cp:lastModifiedBy>Kononchenko Iryna</cp:lastModifiedBy>
  <cp:revision>5</cp:revision>
  <dcterms:created xsi:type="dcterms:W3CDTF">2018-05-17T06:52:00Z</dcterms:created>
  <dcterms:modified xsi:type="dcterms:W3CDTF">2022-07-29T13:01:00Z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0x0101002A1458C3B26AF845B1E7FBE9F0ED9242</vt:lpwstr>
  </property>
</Properties>
</file>